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8FB" w:rsidRPr="003B3957" w:rsidRDefault="007F28FB" w:rsidP="007F28FB">
      <w:pPr>
        <w:spacing w:before="100" w:beforeAutospacing="1" w:after="100" w:afterAutospacing="1"/>
        <w:outlineLvl w:val="0"/>
        <w:rPr>
          <w:b/>
          <w:bCs/>
          <w:kern w:val="36"/>
          <w:sz w:val="48"/>
          <w:szCs w:val="48"/>
        </w:rPr>
      </w:pPr>
      <w:bookmarkStart w:id="0" w:name="digital-safeguarding-policy"/>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r>
        <w:rPr>
          <w:b/>
          <w:bCs/>
          <w:noProof/>
          <w:kern w:val="36"/>
          <w:sz w:val="48"/>
          <w:szCs w:val="48"/>
        </w:rPr>
        <w:drawing>
          <wp:anchor distT="0" distB="0" distL="114300" distR="114300" simplePos="0" relativeHeight="251659264" behindDoc="0" locked="0" layoutInCell="1" allowOverlap="1" wp14:anchorId="0F31D1D3" wp14:editId="054B35C4">
            <wp:simplePos x="0" y="0"/>
            <wp:positionH relativeFrom="margin">
              <wp:posOffset>1914525</wp:posOffset>
            </wp:positionH>
            <wp:positionV relativeFrom="margin">
              <wp:posOffset>1158875</wp:posOffset>
            </wp:positionV>
            <wp:extent cx="1428750" cy="1087755"/>
            <wp:effectExtent l="0" t="0" r="0" b="0"/>
            <wp:wrapSquare wrapText="bothSides"/>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f19a6-9956-4585-80ab-cbbff0e0052f.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8750" cy="1087755"/>
                    </a:xfrm>
                    <a:prstGeom prst="rect">
                      <a:avLst/>
                    </a:prstGeom>
                  </pic:spPr>
                </pic:pic>
              </a:graphicData>
            </a:graphic>
            <wp14:sizeRelH relativeFrom="margin">
              <wp14:pctWidth>0</wp14:pctWidth>
            </wp14:sizeRelH>
            <wp14:sizeRelV relativeFrom="margin">
              <wp14:pctHeight>0</wp14:pctHeight>
            </wp14:sizeRelV>
          </wp:anchor>
        </w:drawing>
      </w: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Pr="007F28FB" w:rsidRDefault="007F28FB" w:rsidP="007F28FB">
      <w:pPr>
        <w:spacing w:before="100" w:beforeAutospacing="1" w:after="100" w:afterAutospacing="1"/>
        <w:outlineLvl w:val="0"/>
        <w:rPr>
          <w:b/>
          <w:bCs/>
          <w:kern w:val="36"/>
          <w:sz w:val="160"/>
          <w:szCs w:val="160"/>
        </w:rPr>
      </w:pPr>
      <w:bookmarkStart w:id="1" w:name="_GoBack"/>
      <w:r w:rsidRPr="007F28FB">
        <w:rPr>
          <w:b/>
          <w:sz w:val="48"/>
          <w:szCs w:val="48"/>
        </w:rPr>
        <w:t>English as an Additional Language (EAL) Policy</w:t>
      </w:r>
    </w:p>
    <w:bookmarkEnd w:id="1"/>
    <w:p w:rsidR="007F28FB" w:rsidRDefault="007F28FB" w:rsidP="007F28FB">
      <w:pPr>
        <w:spacing w:before="100" w:beforeAutospacing="1" w:after="100" w:afterAutospacing="1"/>
        <w:outlineLvl w:val="0"/>
        <w:rPr>
          <w:b/>
          <w:sz w:val="40"/>
          <w:szCs w:val="40"/>
        </w:rPr>
      </w:pPr>
    </w:p>
    <w:p w:rsidR="007F28FB" w:rsidRPr="00DB74E0" w:rsidRDefault="007F28FB" w:rsidP="007F28FB">
      <w:pPr>
        <w:spacing w:before="100" w:beforeAutospacing="1" w:after="100" w:afterAutospacing="1"/>
        <w:outlineLvl w:val="0"/>
        <w:rPr>
          <w:b/>
          <w:bCs/>
          <w:kern w:val="36"/>
          <w:sz w:val="48"/>
          <w:szCs w:val="48"/>
        </w:rPr>
      </w:pPr>
      <w:proofErr w:type="spellStart"/>
      <w:r w:rsidRPr="00DB74E0">
        <w:rPr>
          <w:b/>
          <w:sz w:val="40"/>
          <w:szCs w:val="40"/>
        </w:rPr>
        <w:t>NextGen</w:t>
      </w:r>
      <w:proofErr w:type="spellEnd"/>
      <w:r w:rsidRPr="00DB74E0">
        <w:rPr>
          <w:b/>
          <w:sz w:val="40"/>
          <w:szCs w:val="40"/>
        </w:rPr>
        <w:t xml:space="preserve"> Digital School of Britain</w:t>
      </w:r>
      <w:r w:rsidRPr="00DB74E0">
        <w:rPr>
          <w:sz w:val="32"/>
          <w:szCs w:val="32"/>
        </w:rPr>
        <w:br/>
      </w:r>
      <w:r w:rsidRPr="00DB74E0">
        <w:rPr>
          <w:b/>
          <w:sz w:val="28"/>
          <w:szCs w:val="28"/>
        </w:rPr>
        <w:t>Authoring Body: The Academy of eLearning - Britain</w:t>
      </w:r>
      <w:r w:rsidRPr="00DB74E0">
        <w:rPr>
          <w:b/>
          <w:bCs/>
          <w:kern w:val="36"/>
          <w:sz w:val="40"/>
          <w:szCs w:val="40"/>
        </w:rPr>
        <w:t xml:space="preserve"> </w:t>
      </w: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kern w:val="36"/>
          <w:sz w:val="48"/>
          <w:szCs w:val="48"/>
        </w:rPr>
      </w:pPr>
    </w:p>
    <w:p w:rsidR="007F28FB" w:rsidRDefault="007F28FB" w:rsidP="007F28FB">
      <w:pPr>
        <w:spacing w:before="100" w:beforeAutospacing="1" w:after="100" w:afterAutospacing="1"/>
        <w:outlineLvl w:val="0"/>
        <w:rPr>
          <w:b/>
          <w:bCs/>
          <w:sz w:val="36"/>
          <w:szCs w:val="36"/>
        </w:rPr>
      </w:pPr>
      <w:r>
        <w:rPr>
          <w:b/>
          <w:bCs/>
          <w:sz w:val="36"/>
          <w:szCs w:val="36"/>
        </w:rPr>
        <w:t>Table of Content</w:t>
      </w:r>
    </w:p>
    <w:tbl>
      <w:tblPr>
        <w:tblStyle w:val="ad"/>
        <w:tblW w:w="0" w:type="auto"/>
        <w:tblLook w:val="04A0" w:firstRow="1" w:lastRow="0" w:firstColumn="1" w:lastColumn="0" w:noHBand="0" w:noVBand="1"/>
      </w:tblPr>
      <w:tblGrid>
        <w:gridCol w:w="5495"/>
        <w:gridCol w:w="3027"/>
      </w:tblGrid>
      <w:tr w:rsidR="007F28FB" w:rsidTr="00626BCE">
        <w:tc>
          <w:tcPr>
            <w:tcW w:w="5495" w:type="dxa"/>
          </w:tcPr>
          <w:p w:rsidR="007F28FB" w:rsidRPr="009A1C0E" w:rsidRDefault="007F28FB" w:rsidP="00566D51">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Topic</w:t>
            </w:r>
          </w:p>
        </w:tc>
        <w:tc>
          <w:tcPr>
            <w:tcW w:w="3027" w:type="dxa"/>
          </w:tcPr>
          <w:p w:rsidR="007F28FB" w:rsidRPr="009A1C0E" w:rsidRDefault="007F28FB" w:rsidP="00566D51">
            <w:pPr>
              <w:spacing w:before="100" w:beforeAutospacing="1" w:after="100" w:afterAutospacing="1"/>
              <w:outlineLvl w:val="0"/>
              <w:rPr>
                <w:rFonts w:ascii="Times New Roman" w:eastAsia="Times New Roman" w:hAnsi="Times New Roman" w:cs="Times New Roman"/>
                <w:sz w:val="24"/>
                <w:szCs w:val="24"/>
              </w:rPr>
            </w:pPr>
            <w:r w:rsidRPr="009A1C0E">
              <w:rPr>
                <w:rFonts w:ascii="Times New Roman" w:eastAsia="Times New Roman" w:hAnsi="Times New Roman" w:cs="Times New Roman"/>
                <w:sz w:val="24"/>
                <w:szCs w:val="24"/>
              </w:rPr>
              <w:t>Page Number</w:t>
            </w:r>
          </w:p>
        </w:tc>
      </w:tr>
      <w:tr w:rsidR="007F28FB" w:rsidTr="00626BCE">
        <w:tc>
          <w:tcPr>
            <w:tcW w:w="5495" w:type="dxa"/>
          </w:tcPr>
          <w:p w:rsidR="007F28FB" w:rsidRPr="00012D7F" w:rsidRDefault="007F28FB" w:rsidP="00566D51">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1. Policy Statement / Aims</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7F28FB" w:rsidTr="00626BCE">
        <w:tc>
          <w:tcPr>
            <w:tcW w:w="5495" w:type="dxa"/>
          </w:tcPr>
          <w:p w:rsidR="007F28FB" w:rsidRPr="00012D7F" w:rsidRDefault="007F28FB" w:rsidP="00566D51">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2. Scope</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7F28FB" w:rsidTr="00626BCE">
        <w:tc>
          <w:tcPr>
            <w:tcW w:w="5495" w:type="dxa"/>
          </w:tcPr>
          <w:p w:rsidR="007F28FB" w:rsidRPr="00012D7F" w:rsidRDefault="007F28FB" w:rsidP="00566D51">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3. Procedures / Key Principles</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1</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3.1 Identification and Assessment of EAL Pupils</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3.2 Curriculum Access and Differentiation</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3.3 Development of Speaking and Listening Skills</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sidRPr="00D42445">
              <w:rPr>
                <w:rFonts w:ascii="Times New Roman" w:eastAsia="Times New Roman" w:hAnsi="Times New Roman" w:cs="Times New Roman"/>
                <w:sz w:val="24"/>
                <w:szCs w:val="24"/>
              </w:rPr>
              <w:t>2</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3.4 Literacy Support</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7F28FB" w:rsidTr="00626BCE">
        <w:tc>
          <w:tcPr>
            <w:tcW w:w="5495" w:type="dxa"/>
          </w:tcPr>
          <w:p w:rsidR="007F28FB" w:rsidRPr="00626BCE" w:rsidRDefault="007F28FB" w:rsidP="007F28FB">
            <w:pPr>
              <w:spacing w:before="100" w:beforeAutospacing="1" w:after="100" w:afterAutospacing="1"/>
              <w:outlineLvl w:val="0"/>
              <w:rPr>
                <w:rFonts w:ascii="Times New Roman" w:eastAsia="Times New Roman" w:hAnsi="Times New Roman" w:cs="Times New Roman"/>
                <w:sz w:val="24"/>
                <w:szCs w:val="24"/>
                <w:lang w:val="en-US"/>
              </w:rPr>
            </w:pPr>
            <w:r w:rsidRPr="007F28FB">
              <w:rPr>
                <w:rFonts w:ascii="Times New Roman" w:eastAsia="Times New Roman" w:hAnsi="Times New Roman" w:cs="Times New Roman"/>
                <w:sz w:val="24"/>
                <w:szCs w:val="24"/>
              </w:rPr>
              <w:t>3.5 Numeracy Support</w:t>
            </w:r>
          </w:p>
        </w:tc>
        <w:tc>
          <w:tcPr>
            <w:tcW w:w="3027" w:type="dxa"/>
          </w:tcPr>
          <w:p w:rsidR="007F28FB" w:rsidRDefault="007F28FB" w:rsidP="00566D51">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3.6 Parental Engagement and Communication</w:t>
            </w:r>
          </w:p>
        </w:tc>
        <w:tc>
          <w:tcPr>
            <w:tcW w:w="3027" w:type="dxa"/>
          </w:tcPr>
          <w:p w:rsidR="007F28FB" w:rsidRDefault="007F28FB" w:rsidP="00566D51">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2</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3.7 Staff Training and Professional Development</w:t>
            </w:r>
          </w:p>
        </w:tc>
        <w:tc>
          <w:tcPr>
            <w:tcW w:w="3027" w:type="dxa"/>
          </w:tcPr>
          <w:p w:rsidR="007F28FB" w:rsidRDefault="00626BCE" w:rsidP="00566D51">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7F28FB" w:rsidTr="00626BCE">
        <w:tc>
          <w:tcPr>
            <w:tcW w:w="5495" w:type="dxa"/>
          </w:tcPr>
          <w:p w:rsidR="007F28FB" w:rsidRPr="007F28FB" w:rsidRDefault="007F28FB" w:rsidP="007F28FB">
            <w:pPr>
              <w:spacing w:before="100" w:beforeAutospacing="1" w:after="100" w:afterAutospacing="1"/>
              <w:outlineLvl w:val="0"/>
              <w:rPr>
                <w:rFonts w:ascii="Times New Roman" w:eastAsia="Times New Roman" w:hAnsi="Times New Roman" w:cs="Times New Roman"/>
                <w:sz w:val="24"/>
                <w:szCs w:val="24"/>
              </w:rPr>
            </w:pPr>
            <w:r w:rsidRPr="007F28FB">
              <w:rPr>
                <w:rFonts w:ascii="Times New Roman" w:eastAsia="Times New Roman" w:hAnsi="Times New Roman" w:cs="Times New Roman"/>
                <w:sz w:val="24"/>
                <w:szCs w:val="24"/>
              </w:rPr>
              <w:t>3.8 Monitoring and Reporting</w:t>
            </w:r>
          </w:p>
        </w:tc>
        <w:tc>
          <w:tcPr>
            <w:tcW w:w="3027" w:type="dxa"/>
          </w:tcPr>
          <w:p w:rsidR="007F28FB" w:rsidRDefault="00626BCE" w:rsidP="00566D51">
            <w:pPr>
              <w:spacing w:before="100" w:beforeAutospacing="1" w:after="100" w:afterAutospacing="1"/>
              <w:outlineLvl w:val="0"/>
              <w:rPr>
                <w:rFonts w:ascii="Times New Roman" w:eastAsia="Times New Roman" w:hAnsi="Times New Roman" w:cs="Times New Roman"/>
              </w:rPr>
            </w:pPr>
            <w:r>
              <w:rPr>
                <w:rFonts w:ascii="Times New Roman" w:eastAsia="Times New Roman" w:hAnsi="Times New Roman" w:cs="Times New Roman"/>
              </w:rPr>
              <w:t>3</w:t>
            </w:r>
          </w:p>
        </w:tc>
      </w:tr>
      <w:tr w:rsidR="007F28FB" w:rsidTr="00626BCE">
        <w:tc>
          <w:tcPr>
            <w:tcW w:w="5495" w:type="dxa"/>
          </w:tcPr>
          <w:p w:rsidR="007F28FB" w:rsidRPr="00012D7F" w:rsidRDefault="007F28FB" w:rsidP="00566D51">
            <w:pPr>
              <w:spacing w:before="100" w:beforeAutospacing="1" w:after="100" w:afterAutospacing="1"/>
              <w:outlineLvl w:val="0"/>
              <w:rPr>
                <w:rFonts w:ascii="Times New Roman" w:eastAsia="Times New Roman" w:hAnsi="Times New Roman" w:cs="Times New Roman"/>
                <w:sz w:val="24"/>
                <w:szCs w:val="24"/>
              </w:rPr>
            </w:pPr>
            <w:r w:rsidRPr="00012D7F">
              <w:rPr>
                <w:rFonts w:ascii="Times New Roman" w:eastAsia="Times New Roman" w:hAnsi="Times New Roman" w:cs="Times New Roman"/>
                <w:sz w:val="24"/>
                <w:szCs w:val="24"/>
              </w:rPr>
              <w:t>4. Review</w:t>
            </w:r>
          </w:p>
        </w:tc>
        <w:tc>
          <w:tcPr>
            <w:tcW w:w="3027" w:type="dxa"/>
          </w:tcPr>
          <w:p w:rsidR="007F28FB" w:rsidRPr="00D42445" w:rsidRDefault="007F28FB" w:rsidP="00566D51">
            <w:pPr>
              <w:spacing w:before="100" w:beforeAutospacing="1" w:after="100" w:afterAutospacing="1"/>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7F28FB" w:rsidRDefault="007F28FB" w:rsidP="007F28FB">
      <w:pPr>
        <w:pStyle w:val="MdParagraph"/>
      </w:pPr>
    </w:p>
    <w:p w:rsidR="007F28FB" w:rsidRDefault="007F28FB" w:rsidP="007F28FB">
      <w:pPr>
        <w:pStyle w:val="1"/>
        <w:sectPr w:rsidR="007F28FB">
          <w:headerReference w:type="default" r:id="rId9"/>
          <w:pgSz w:w="12240" w:h="15840"/>
          <w:pgMar w:top="1440" w:right="1800" w:bottom="1440" w:left="1800" w:header="720" w:footer="720" w:gutter="0"/>
          <w:cols w:space="720"/>
        </w:sectPr>
      </w:pPr>
    </w:p>
    <w:p w:rsidR="00E93F3C" w:rsidRPr="007F28FB" w:rsidRDefault="00B44E55">
      <w:pPr>
        <w:pStyle w:val="3"/>
        <w:rPr>
          <w:rFonts w:asciiTheme="majorBidi" w:hAnsiTheme="majorBidi"/>
          <w:color w:val="000000" w:themeColor="text1"/>
          <w:sz w:val="32"/>
          <w:szCs w:val="32"/>
        </w:rPr>
      </w:pPr>
      <w:bookmarkStart w:id="2" w:name="policy-statement-aims"/>
      <w:bookmarkEnd w:id="0"/>
      <w:r w:rsidRPr="007F28FB">
        <w:rPr>
          <w:rFonts w:asciiTheme="majorBidi" w:hAnsiTheme="majorBidi"/>
          <w:color w:val="000000" w:themeColor="text1"/>
          <w:sz w:val="32"/>
          <w:szCs w:val="32"/>
        </w:rPr>
        <w:lastRenderedPageBreak/>
        <w:t>1. Policy Statement / Aims</w:t>
      </w:r>
      <w:bookmarkEnd w:id="2"/>
    </w:p>
    <w:p w:rsidR="00E93F3C" w:rsidRPr="007F28FB" w:rsidRDefault="00B44E55">
      <w:pPr>
        <w:pStyle w:val="FirstParagraph"/>
        <w:rPr>
          <w:rFonts w:asciiTheme="majorBidi" w:hAnsiTheme="majorBidi" w:cstheme="majorBidi"/>
          <w:color w:val="000000" w:themeColor="text1"/>
        </w:rPr>
      </w:pPr>
      <w:r w:rsidRPr="007F28FB">
        <w:rPr>
          <w:rFonts w:asciiTheme="majorBidi" w:hAnsiTheme="majorBidi" w:cstheme="majorBidi"/>
          <w:color w:val="000000" w:themeColor="text1"/>
        </w:rPr>
        <w:t>NextGen Digital School of Britain is committed to providing high-quality, inclusive online education that meets the diverse linguistic needs of all pupils, including those for whom English is an Additional Language (EAL). This policy aims to ensure that EA</w:t>
      </w:r>
      <w:r w:rsidRPr="007F28FB">
        <w:rPr>
          <w:rFonts w:asciiTheme="majorBidi" w:hAnsiTheme="majorBidi" w:cstheme="majorBidi"/>
          <w:color w:val="000000" w:themeColor="text1"/>
        </w:rPr>
        <w:t>L pupils have full access to the curriculum and are supported in acquiring essential speaking, listening, literacy, and numeracy skills through tailored online teaching strategies and resources. Our approach complies fully with the Department for Education</w:t>
      </w:r>
      <w:r w:rsidRPr="007F28FB">
        <w:rPr>
          <w:rFonts w:asciiTheme="majorBidi" w:hAnsiTheme="majorBidi" w:cstheme="majorBidi"/>
          <w:color w:val="000000" w:themeColor="text1"/>
        </w:rPr>
        <w:t>’s Online Education Accreditation Scheme (OEAS) Standard 1.4, ensuring equitable educational outcomes in a digital learning environment.</w:t>
      </w:r>
    </w:p>
    <w:p w:rsidR="00E93F3C" w:rsidRPr="007F28FB" w:rsidRDefault="00E93F3C">
      <w:pPr>
        <w:rPr>
          <w:rFonts w:asciiTheme="majorBidi" w:hAnsiTheme="majorBidi" w:cstheme="majorBidi"/>
          <w:color w:val="000000" w:themeColor="text1"/>
        </w:rPr>
      </w:pPr>
    </w:p>
    <w:p w:rsidR="00E93F3C" w:rsidRPr="007F28FB" w:rsidRDefault="00B44E55">
      <w:pPr>
        <w:pStyle w:val="3"/>
        <w:rPr>
          <w:rFonts w:asciiTheme="majorBidi" w:hAnsiTheme="majorBidi"/>
          <w:color w:val="000000" w:themeColor="text1"/>
          <w:sz w:val="32"/>
          <w:szCs w:val="32"/>
        </w:rPr>
      </w:pPr>
      <w:bookmarkStart w:id="3" w:name="scope"/>
      <w:r w:rsidRPr="007F28FB">
        <w:rPr>
          <w:rFonts w:asciiTheme="majorBidi" w:hAnsiTheme="majorBidi"/>
          <w:color w:val="000000" w:themeColor="text1"/>
          <w:sz w:val="32"/>
          <w:szCs w:val="32"/>
        </w:rPr>
        <w:t>2. Scope</w:t>
      </w:r>
      <w:bookmarkEnd w:id="3"/>
    </w:p>
    <w:p w:rsidR="00E93F3C" w:rsidRPr="007F28FB" w:rsidRDefault="00B44E55">
      <w:pPr>
        <w:pStyle w:val="FirstParagraph"/>
        <w:rPr>
          <w:rFonts w:asciiTheme="majorBidi" w:hAnsiTheme="majorBidi" w:cstheme="majorBidi"/>
          <w:color w:val="000000" w:themeColor="text1"/>
        </w:rPr>
      </w:pPr>
      <w:r w:rsidRPr="007F28FB">
        <w:rPr>
          <w:rFonts w:asciiTheme="majorBidi" w:hAnsiTheme="majorBidi" w:cstheme="majorBidi"/>
          <w:color w:val="000000" w:themeColor="text1"/>
        </w:rPr>
        <w:t>This policy applies to:</w:t>
      </w:r>
      <w:r w:rsidRPr="007F28FB">
        <w:rPr>
          <w:rFonts w:asciiTheme="majorBidi" w:hAnsiTheme="majorBidi" w:cstheme="majorBidi"/>
          <w:color w:val="000000" w:themeColor="text1"/>
        </w:rPr>
        <w:br/>
        <w:t>- All teaching and support staff involved in the delivery and facilitation of online</w:t>
      </w:r>
      <w:r w:rsidRPr="007F28FB">
        <w:rPr>
          <w:rFonts w:asciiTheme="majorBidi" w:hAnsiTheme="majorBidi" w:cstheme="majorBidi"/>
          <w:color w:val="000000" w:themeColor="text1"/>
        </w:rPr>
        <w:t xml:space="preserve"> learning at NextGen Digital School of Britain.</w:t>
      </w:r>
      <w:r w:rsidRPr="007F28FB">
        <w:rPr>
          <w:rFonts w:asciiTheme="majorBidi" w:hAnsiTheme="majorBidi" w:cstheme="majorBidi"/>
          <w:color w:val="000000" w:themeColor="text1"/>
        </w:rPr>
        <w:br/>
        <w:t>- All pupils enrolled at the school who identify as having English as an Additional Language.</w:t>
      </w:r>
      <w:r w:rsidRPr="007F28FB">
        <w:rPr>
          <w:rFonts w:asciiTheme="majorBidi" w:hAnsiTheme="majorBidi" w:cstheme="majorBidi"/>
          <w:color w:val="000000" w:themeColor="text1"/>
        </w:rPr>
        <w:br/>
        <w:t>- Parents and guardians of EAL pupils, who are partners in supporting their child’s language development and curri</w:t>
      </w:r>
      <w:r w:rsidRPr="007F28FB">
        <w:rPr>
          <w:rFonts w:asciiTheme="majorBidi" w:hAnsiTheme="majorBidi" w:cstheme="majorBidi"/>
          <w:color w:val="000000" w:themeColor="text1"/>
        </w:rPr>
        <w:t>culum access.</w:t>
      </w:r>
      <w:r w:rsidRPr="007F28FB">
        <w:rPr>
          <w:rFonts w:asciiTheme="majorBidi" w:hAnsiTheme="majorBidi" w:cstheme="majorBidi"/>
          <w:color w:val="000000" w:themeColor="text1"/>
        </w:rPr>
        <w:br/>
        <w:t>- DfE and Ofsted inspectors reviewing compliance with OEAS standards.</w:t>
      </w:r>
    </w:p>
    <w:p w:rsidR="00E93F3C" w:rsidRPr="007F28FB" w:rsidRDefault="00E93F3C">
      <w:pPr>
        <w:rPr>
          <w:rFonts w:asciiTheme="majorBidi" w:hAnsiTheme="majorBidi" w:cstheme="majorBidi"/>
          <w:color w:val="000000" w:themeColor="text1"/>
        </w:rPr>
      </w:pPr>
    </w:p>
    <w:p w:rsidR="00E93F3C" w:rsidRPr="007F28FB" w:rsidRDefault="00B44E55">
      <w:pPr>
        <w:pStyle w:val="3"/>
        <w:rPr>
          <w:rFonts w:asciiTheme="majorBidi" w:hAnsiTheme="majorBidi"/>
          <w:color w:val="000000" w:themeColor="text1"/>
          <w:sz w:val="32"/>
          <w:szCs w:val="32"/>
        </w:rPr>
      </w:pPr>
      <w:bookmarkStart w:id="4" w:name="procedures-key-principles"/>
      <w:r w:rsidRPr="007F28FB">
        <w:rPr>
          <w:rFonts w:asciiTheme="majorBidi" w:hAnsiTheme="majorBidi"/>
          <w:color w:val="000000" w:themeColor="text1"/>
          <w:sz w:val="32"/>
          <w:szCs w:val="32"/>
        </w:rPr>
        <w:t>3. Procedures / Key Principles</w:t>
      </w:r>
      <w:bookmarkEnd w:id="4"/>
    </w:p>
    <w:p w:rsidR="00E93F3C" w:rsidRPr="007F28FB" w:rsidRDefault="00B44E55">
      <w:pPr>
        <w:pStyle w:val="4"/>
        <w:rPr>
          <w:rFonts w:asciiTheme="majorBidi" w:hAnsiTheme="majorBidi"/>
          <w:b/>
          <w:bCs w:val="0"/>
          <w:i w:val="0"/>
          <w:iCs/>
          <w:color w:val="000000" w:themeColor="text1"/>
          <w:sz w:val="28"/>
          <w:szCs w:val="28"/>
        </w:rPr>
      </w:pPr>
      <w:bookmarkStart w:id="5" w:name="Xd8743a3bb1aa37a4a06c331030d3c486eee7fc3"/>
      <w:r w:rsidRPr="007F28FB">
        <w:rPr>
          <w:rFonts w:asciiTheme="majorBidi" w:hAnsiTheme="majorBidi"/>
          <w:b/>
          <w:bCs w:val="0"/>
          <w:i w:val="0"/>
          <w:iCs/>
          <w:color w:val="000000" w:themeColor="text1"/>
          <w:sz w:val="28"/>
          <w:szCs w:val="28"/>
        </w:rPr>
        <w:t>3.1 Identification and Assessment of EAL Pupils</w:t>
      </w:r>
      <w:bookmarkEnd w:id="5"/>
    </w:p>
    <w:p w:rsidR="00E93F3C" w:rsidRPr="007F28FB" w:rsidRDefault="00B44E55">
      <w:pPr>
        <w:pStyle w:val="Compact"/>
        <w:numPr>
          <w:ilvl w:val="0"/>
          <w:numId w:val="2"/>
        </w:numPr>
        <w:rPr>
          <w:rFonts w:asciiTheme="majorBidi" w:hAnsiTheme="majorBidi" w:cstheme="majorBidi"/>
          <w:color w:val="000000" w:themeColor="text1"/>
        </w:rPr>
      </w:pPr>
      <w:r w:rsidRPr="007F28FB">
        <w:rPr>
          <w:rFonts w:asciiTheme="majorBidi" w:hAnsiTheme="majorBidi" w:cstheme="majorBidi"/>
          <w:color w:val="000000" w:themeColor="text1"/>
        </w:rPr>
        <w:t>Upon enrolment, all pupils complete a detailed language background questionnaire via our se</w:t>
      </w:r>
      <w:r w:rsidRPr="007F28FB">
        <w:rPr>
          <w:rFonts w:asciiTheme="majorBidi" w:hAnsiTheme="majorBidi" w:cstheme="majorBidi"/>
          <w:color w:val="000000" w:themeColor="text1"/>
        </w:rPr>
        <w:t>cure online platform to identify EAL status.</w:t>
      </w:r>
      <w:r w:rsidRPr="007F28FB">
        <w:rPr>
          <w:rFonts w:asciiTheme="majorBidi" w:hAnsiTheme="majorBidi" w:cstheme="majorBidi"/>
          <w:color w:val="000000" w:themeColor="text1"/>
        </w:rPr>
        <w:br/>
      </w:r>
    </w:p>
    <w:p w:rsidR="00E93F3C" w:rsidRPr="007F28FB" w:rsidRDefault="00B44E55">
      <w:pPr>
        <w:pStyle w:val="Compact"/>
        <w:numPr>
          <w:ilvl w:val="0"/>
          <w:numId w:val="2"/>
        </w:numPr>
        <w:rPr>
          <w:rFonts w:asciiTheme="majorBidi" w:hAnsiTheme="majorBidi" w:cstheme="majorBidi"/>
          <w:color w:val="000000" w:themeColor="text1"/>
        </w:rPr>
      </w:pPr>
      <w:r w:rsidRPr="007F28FB">
        <w:rPr>
          <w:rFonts w:asciiTheme="majorBidi" w:hAnsiTheme="majorBidi" w:cstheme="majorBidi"/>
          <w:color w:val="000000" w:themeColor="text1"/>
        </w:rPr>
        <w:t>Initial language proficiency assessments are conducted remotely using validated digital tools to determine pupils’ English language skills across speaking, listening, reading, and writing.</w:t>
      </w:r>
      <w:r w:rsidRPr="007F28FB">
        <w:rPr>
          <w:rFonts w:asciiTheme="majorBidi" w:hAnsiTheme="majorBidi" w:cstheme="majorBidi"/>
          <w:color w:val="000000" w:themeColor="text1"/>
        </w:rPr>
        <w:br/>
      </w:r>
    </w:p>
    <w:p w:rsidR="00E93F3C" w:rsidRPr="007F28FB" w:rsidRDefault="00B44E55">
      <w:pPr>
        <w:pStyle w:val="Compact"/>
        <w:numPr>
          <w:ilvl w:val="0"/>
          <w:numId w:val="2"/>
        </w:numPr>
        <w:rPr>
          <w:rFonts w:asciiTheme="majorBidi" w:hAnsiTheme="majorBidi" w:cstheme="majorBidi"/>
          <w:color w:val="000000" w:themeColor="text1"/>
        </w:rPr>
      </w:pPr>
      <w:r w:rsidRPr="007F28FB">
        <w:rPr>
          <w:rFonts w:asciiTheme="majorBidi" w:hAnsiTheme="majorBidi" w:cstheme="majorBidi"/>
          <w:color w:val="000000" w:themeColor="text1"/>
        </w:rPr>
        <w:t>Ongoing formative as</w:t>
      </w:r>
      <w:r w:rsidRPr="007F28FB">
        <w:rPr>
          <w:rFonts w:asciiTheme="majorBidi" w:hAnsiTheme="majorBidi" w:cstheme="majorBidi"/>
          <w:color w:val="000000" w:themeColor="text1"/>
        </w:rPr>
        <w:t>sessments are embedded within the online curriculum to monitor progress and adapt support accordingly.</w:t>
      </w:r>
    </w:p>
    <w:p w:rsidR="00E93F3C" w:rsidRPr="007F28FB" w:rsidRDefault="00B44E55">
      <w:pPr>
        <w:pStyle w:val="4"/>
        <w:rPr>
          <w:rFonts w:asciiTheme="majorBidi" w:hAnsiTheme="majorBidi"/>
          <w:b/>
          <w:bCs w:val="0"/>
          <w:i w:val="0"/>
          <w:iCs/>
          <w:color w:val="000000" w:themeColor="text1"/>
          <w:sz w:val="28"/>
          <w:szCs w:val="28"/>
        </w:rPr>
      </w:pPr>
      <w:bookmarkStart w:id="6" w:name="curriculum-access-and-differentiation"/>
      <w:r w:rsidRPr="007F28FB">
        <w:rPr>
          <w:rFonts w:asciiTheme="majorBidi" w:hAnsiTheme="majorBidi"/>
          <w:b/>
          <w:bCs w:val="0"/>
          <w:i w:val="0"/>
          <w:iCs/>
          <w:color w:val="000000" w:themeColor="text1"/>
          <w:sz w:val="28"/>
          <w:szCs w:val="28"/>
        </w:rPr>
        <w:t>3.2 Curriculum Access and Differentiation</w:t>
      </w:r>
      <w:bookmarkEnd w:id="6"/>
    </w:p>
    <w:p w:rsidR="00E93F3C" w:rsidRPr="007F28FB" w:rsidRDefault="00B44E55">
      <w:pPr>
        <w:pStyle w:val="Compact"/>
        <w:numPr>
          <w:ilvl w:val="0"/>
          <w:numId w:val="3"/>
        </w:numPr>
        <w:rPr>
          <w:rFonts w:asciiTheme="majorBidi" w:hAnsiTheme="majorBidi" w:cstheme="majorBidi"/>
          <w:color w:val="000000" w:themeColor="text1"/>
        </w:rPr>
      </w:pPr>
      <w:r w:rsidRPr="007F28FB">
        <w:rPr>
          <w:rFonts w:asciiTheme="majorBidi" w:hAnsiTheme="majorBidi" w:cstheme="majorBidi"/>
          <w:color w:val="000000" w:themeColor="text1"/>
        </w:rPr>
        <w:t>The curriculum is designed and delivered through interactive digital platforms that incorporate multimedia reso</w:t>
      </w:r>
      <w:r w:rsidRPr="007F28FB">
        <w:rPr>
          <w:rFonts w:asciiTheme="majorBidi" w:hAnsiTheme="majorBidi" w:cstheme="majorBidi"/>
          <w:color w:val="000000" w:themeColor="text1"/>
        </w:rPr>
        <w:t>urces (videos, audio, text, and interactive exercises) to support varied learning styles and language proficiency levels.</w:t>
      </w:r>
      <w:r w:rsidRPr="007F28FB">
        <w:rPr>
          <w:rFonts w:asciiTheme="majorBidi" w:hAnsiTheme="majorBidi" w:cstheme="majorBidi"/>
          <w:color w:val="000000" w:themeColor="text1"/>
        </w:rPr>
        <w:br/>
      </w:r>
    </w:p>
    <w:p w:rsidR="00E93F3C" w:rsidRPr="007F28FB" w:rsidRDefault="00B44E55">
      <w:pPr>
        <w:pStyle w:val="Compact"/>
        <w:numPr>
          <w:ilvl w:val="0"/>
          <w:numId w:val="3"/>
        </w:numPr>
        <w:rPr>
          <w:rFonts w:asciiTheme="majorBidi" w:hAnsiTheme="majorBidi" w:cstheme="majorBidi"/>
          <w:color w:val="000000" w:themeColor="text1"/>
        </w:rPr>
      </w:pPr>
      <w:r w:rsidRPr="007F28FB">
        <w:rPr>
          <w:rFonts w:asciiTheme="majorBidi" w:hAnsiTheme="majorBidi" w:cstheme="majorBidi"/>
          <w:color w:val="000000" w:themeColor="text1"/>
        </w:rPr>
        <w:t>Lesson plans include differentiated tasks and scaffolding strategies tailored to EAL pupils, ensuring comprehension and engagement wi</w:t>
      </w:r>
      <w:r w:rsidRPr="007F28FB">
        <w:rPr>
          <w:rFonts w:asciiTheme="majorBidi" w:hAnsiTheme="majorBidi" w:cstheme="majorBidi"/>
          <w:color w:val="000000" w:themeColor="text1"/>
        </w:rPr>
        <w:t xml:space="preserve">thout compromising curriculum </w:t>
      </w:r>
      <w:r w:rsidRPr="007F28FB">
        <w:rPr>
          <w:rFonts w:asciiTheme="majorBidi" w:hAnsiTheme="majorBidi" w:cstheme="majorBidi"/>
          <w:color w:val="000000" w:themeColor="text1"/>
        </w:rPr>
        <w:lastRenderedPageBreak/>
        <w:t>standards.</w:t>
      </w:r>
      <w:r w:rsidRPr="007F28FB">
        <w:rPr>
          <w:rFonts w:asciiTheme="majorBidi" w:hAnsiTheme="majorBidi" w:cstheme="majorBidi"/>
          <w:color w:val="000000" w:themeColor="text1"/>
        </w:rPr>
        <w:br/>
      </w:r>
    </w:p>
    <w:p w:rsidR="00E93F3C" w:rsidRPr="007F28FB" w:rsidRDefault="00B44E55">
      <w:pPr>
        <w:pStyle w:val="Compact"/>
        <w:numPr>
          <w:ilvl w:val="0"/>
          <w:numId w:val="3"/>
        </w:numPr>
        <w:rPr>
          <w:rFonts w:asciiTheme="majorBidi" w:hAnsiTheme="majorBidi" w:cstheme="majorBidi"/>
          <w:color w:val="000000" w:themeColor="text1"/>
        </w:rPr>
      </w:pPr>
      <w:r w:rsidRPr="007F28FB">
        <w:rPr>
          <w:rFonts w:asciiTheme="majorBidi" w:hAnsiTheme="majorBidi" w:cstheme="majorBidi"/>
          <w:color w:val="000000" w:themeColor="text1"/>
        </w:rPr>
        <w:t>Specialist EAL teaching assistants and language specialists provide synchronous and asynchronous support through live video sessions, discussion forums, and personalised feedback.</w:t>
      </w:r>
    </w:p>
    <w:p w:rsidR="00E93F3C" w:rsidRPr="007F28FB" w:rsidRDefault="00B44E55">
      <w:pPr>
        <w:pStyle w:val="4"/>
        <w:rPr>
          <w:rFonts w:asciiTheme="majorBidi" w:hAnsiTheme="majorBidi"/>
          <w:b/>
          <w:bCs w:val="0"/>
          <w:i w:val="0"/>
          <w:iCs/>
          <w:color w:val="000000" w:themeColor="text1"/>
          <w:sz w:val="28"/>
          <w:szCs w:val="28"/>
        </w:rPr>
      </w:pPr>
      <w:bookmarkStart w:id="7" w:name="X03b010e111c5cdc421d280e9a6eea369eebd218"/>
      <w:r w:rsidRPr="007F28FB">
        <w:rPr>
          <w:rFonts w:asciiTheme="majorBidi" w:hAnsiTheme="majorBidi"/>
          <w:b/>
          <w:bCs w:val="0"/>
          <w:i w:val="0"/>
          <w:iCs/>
          <w:color w:val="000000" w:themeColor="text1"/>
          <w:sz w:val="28"/>
          <w:szCs w:val="28"/>
        </w:rPr>
        <w:t>3.3 Development of Speaking and Li</w:t>
      </w:r>
      <w:r w:rsidRPr="007F28FB">
        <w:rPr>
          <w:rFonts w:asciiTheme="majorBidi" w:hAnsiTheme="majorBidi"/>
          <w:b/>
          <w:bCs w:val="0"/>
          <w:i w:val="0"/>
          <w:iCs/>
          <w:color w:val="000000" w:themeColor="text1"/>
          <w:sz w:val="28"/>
          <w:szCs w:val="28"/>
        </w:rPr>
        <w:t>stening Skills</w:t>
      </w:r>
      <w:bookmarkEnd w:id="7"/>
    </w:p>
    <w:p w:rsidR="00E93F3C" w:rsidRPr="007F28FB" w:rsidRDefault="00B44E55">
      <w:pPr>
        <w:pStyle w:val="Compact"/>
        <w:numPr>
          <w:ilvl w:val="0"/>
          <w:numId w:val="4"/>
        </w:numPr>
        <w:rPr>
          <w:rFonts w:asciiTheme="majorBidi" w:hAnsiTheme="majorBidi" w:cstheme="majorBidi"/>
          <w:color w:val="000000" w:themeColor="text1"/>
        </w:rPr>
      </w:pPr>
      <w:r w:rsidRPr="007F28FB">
        <w:rPr>
          <w:rFonts w:asciiTheme="majorBidi" w:hAnsiTheme="majorBidi" w:cstheme="majorBidi"/>
          <w:color w:val="000000" w:themeColor="text1"/>
        </w:rPr>
        <w:t>Regular live online tutorials and small group discussions facilitate oral language development, encouraging EAL pupils to practise speaking and listening in a supportive environment.</w:t>
      </w:r>
      <w:r w:rsidRPr="007F28FB">
        <w:rPr>
          <w:rFonts w:asciiTheme="majorBidi" w:hAnsiTheme="majorBidi" w:cstheme="majorBidi"/>
          <w:color w:val="000000" w:themeColor="text1"/>
        </w:rPr>
        <w:br/>
      </w:r>
    </w:p>
    <w:p w:rsidR="00E93F3C" w:rsidRPr="007F28FB" w:rsidRDefault="00B44E55">
      <w:pPr>
        <w:pStyle w:val="Compact"/>
        <w:numPr>
          <w:ilvl w:val="0"/>
          <w:numId w:val="4"/>
        </w:numPr>
        <w:rPr>
          <w:rFonts w:asciiTheme="majorBidi" w:hAnsiTheme="majorBidi" w:cstheme="majorBidi"/>
          <w:color w:val="000000" w:themeColor="text1"/>
        </w:rPr>
      </w:pPr>
      <w:r w:rsidRPr="007F28FB">
        <w:rPr>
          <w:rFonts w:asciiTheme="majorBidi" w:hAnsiTheme="majorBidi" w:cstheme="majorBidi"/>
          <w:color w:val="000000" w:themeColor="text1"/>
        </w:rPr>
        <w:t>Use of speech-to-text and text-to-speech technologies sup</w:t>
      </w:r>
      <w:r w:rsidRPr="007F28FB">
        <w:rPr>
          <w:rFonts w:asciiTheme="majorBidi" w:hAnsiTheme="majorBidi" w:cstheme="majorBidi"/>
          <w:color w:val="000000" w:themeColor="text1"/>
        </w:rPr>
        <w:t>ports pupils with varying levels of English proficiency.</w:t>
      </w:r>
      <w:r w:rsidRPr="007F28FB">
        <w:rPr>
          <w:rFonts w:asciiTheme="majorBidi" w:hAnsiTheme="majorBidi" w:cstheme="majorBidi"/>
          <w:color w:val="000000" w:themeColor="text1"/>
        </w:rPr>
        <w:br/>
      </w:r>
    </w:p>
    <w:p w:rsidR="00E93F3C" w:rsidRPr="007F28FB" w:rsidRDefault="00B44E55">
      <w:pPr>
        <w:pStyle w:val="Compact"/>
        <w:numPr>
          <w:ilvl w:val="0"/>
          <w:numId w:val="4"/>
        </w:numPr>
        <w:rPr>
          <w:rFonts w:asciiTheme="majorBidi" w:hAnsiTheme="majorBidi" w:cstheme="majorBidi"/>
          <w:color w:val="000000" w:themeColor="text1"/>
        </w:rPr>
      </w:pPr>
      <w:r w:rsidRPr="007F28FB">
        <w:rPr>
          <w:rFonts w:asciiTheme="majorBidi" w:hAnsiTheme="majorBidi" w:cstheme="majorBidi"/>
          <w:color w:val="000000" w:themeColor="text1"/>
        </w:rPr>
        <w:t>Structured peer interaction is promoted via breakout rooms and collaborative digital projects to enhance communicative competence.</w:t>
      </w:r>
    </w:p>
    <w:p w:rsidR="00E93F3C" w:rsidRPr="007F28FB" w:rsidRDefault="00B44E55">
      <w:pPr>
        <w:pStyle w:val="4"/>
        <w:rPr>
          <w:rFonts w:asciiTheme="majorBidi" w:hAnsiTheme="majorBidi"/>
          <w:b/>
          <w:bCs w:val="0"/>
          <w:i w:val="0"/>
          <w:iCs/>
          <w:color w:val="000000" w:themeColor="text1"/>
          <w:sz w:val="28"/>
          <w:szCs w:val="28"/>
        </w:rPr>
      </w:pPr>
      <w:bookmarkStart w:id="8" w:name="literacy-support"/>
      <w:r w:rsidRPr="007F28FB">
        <w:rPr>
          <w:rFonts w:asciiTheme="majorBidi" w:hAnsiTheme="majorBidi"/>
          <w:b/>
          <w:bCs w:val="0"/>
          <w:i w:val="0"/>
          <w:iCs/>
          <w:color w:val="000000" w:themeColor="text1"/>
          <w:sz w:val="28"/>
          <w:szCs w:val="28"/>
        </w:rPr>
        <w:t>3.4 Literacy Support</w:t>
      </w:r>
      <w:bookmarkEnd w:id="8"/>
    </w:p>
    <w:p w:rsidR="00E93F3C" w:rsidRPr="007F28FB" w:rsidRDefault="00B44E55">
      <w:pPr>
        <w:pStyle w:val="Compact"/>
        <w:numPr>
          <w:ilvl w:val="0"/>
          <w:numId w:val="5"/>
        </w:numPr>
        <w:rPr>
          <w:rFonts w:asciiTheme="majorBidi" w:hAnsiTheme="majorBidi" w:cstheme="majorBidi"/>
          <w:color w:val="000000" w:themeColor="text1"/>
        </w:rPr>
      </w:pPr>
      <w:r w:rsidRPr="007F28FB">
        <w:rPr>
          <w:rFonts w:asciiTheme="majorBidi" w:hAnsiTheme="majorBidi" w:cstheme="majorBidi"/>
          <w:color w:val="000000" w:themeColor="text1"/>
        </w:rPr>
        <w:t>Digital literacy programmes are integrated int</w:t>
      </w:r>
      <w:r w:rsidRPr="007F28FB">
        <w:rPr>
          <w:rFonts w:asciiTheme="majorBidi" w:hAnsiTheme="majorBidi" w:cstheme="majorBidi"/>
          <w:color w:val="000000" w:themeColor="text1"/>
        </w:rPr>
        <w:t>o the curriculum, focusing on vocabulary acquisition, grammar, reading comprehension, and writing skills tailored to EAL learners.</w:t>
      </w:r>
      <w:r w:rsidRPr="007F28FB">
        <w:rPr>
          <w:rFonts w:asciiTheme="majorBidi" w:hAnsiTheme="majorBidi" w:cstheme="majorBidi"/>
          <w:color w:val="000000" w:themeColor="text1"/>
        </w:rPr>
        <w:br/>
      </w:r>
    </w:p>
    <w:p w:rsidR="00E93F3C" w:rsidRPr="007F28FB" w:rsidRDefault="00B44E55">
      <w:pPr>
        <w:pStyle w:val="Compact"/>
        <w:numPr>
          <w:ilvl w:val="0"/>
          <w:numId w:val="5"/>
        </w:numPr>
        <w:rPr>
          <w:rFonts w:asciiTheme="majorBidi" w:hAnsiTheme="majorBidi" w:cstheme="majorBidi"/>
          <w:color w:val="000000" w:themeColor="text1"/>
        </w:rPr>
      </w:pPr>
      <w:r w:rsidRPr="007F28FB">
        <w:rPr>
          <w:rFonts w:asciiTheme="majorBidi" w:hAnsiTheme="majorBidi" w:cstheme="majorBidi"/>
          <w:color w:val="000000" w:themeColor="text1"/>
        </w:rPr>
        <w:t>Access to online libraries and language learning apps is provided to encourage independent reading and language practice.</w:t>
      </w:r>
      <w:r w:rsidRPr="007F28FB">
        <w:rPr>
          <w:rFonts w:asciiTheme="majorBidi" w:hAnsiTheme="majorBidi" w:cstheme="majorBidi"/>
          <w:color w:val="000000" w:themeColor="text1"/>
        </w:rPr>
        <w:br/>
      </w:r>
    </w:p>
    <w:p w:rsidR="00E93F3C" w:rsidRPr="007F28FB" w:rsidRDefault="00B44E55">
      <w:pPr>
        <w:pStyle w:val="Compact"/>
        <w:numPr>
          <w:ilvl w:val="0"/>
          <w:numId w:val="5"/>
        </w:numPr>
        <w:rPr>
          <w:rFonts w:asciiTheme="majorBidi" w:hAnsiTheme="majorBidi" w:cstheme="majorBidi"/>
          <w:color w:val="000000" w:themeColor="text1"/>
        </w:rPr>
      </w:pPr>
      <w:r w:rsidRPr="007F28FB">
        <w:rPr>
          <w:rFonts w:asciiTheme="majorBidi" w:hAnsiTheme="majorBidi" w:cstheme="majorBidi"/>
          <w:color w:val="000000" w:themeColor="text1"/>
        </w:rPr>
        <w:t>W</w:t>
      </w:r>
      <w:r w:rsidRPr="007F28FB">
        <w:rPr>
          <w:rFonts w:asciiTheme="majorBidi" w:hAnsiTheme="majorBidi" w:cstheme="majorBidi"/>
          <w:color w:val="000000" w:themeColor="text1"/>
        </w:rPr>
        <w:t>ritten assignments are supported by clear rubrics and exemplars, with opportunities for iterative feedback and revision.</w:t>
      </w:r>
    </w:p>
    <w:p w:rsidR="00E93F3C" w:rsidRPr="007F28FB" w:rsidRDefault="00B44E55">
      <w:pPr>
        <w:pStyle w:val="4"/>
        <w:rPr>
          <w:rFonts w:asciiTheme="majorBidi" w:hAnsiTheme="majorBidi"/>
          <w:b/>
          <w:bCs w:val="0"/>
          <w:i w:val="0"/>
          <w:iCs/>
          <w:color w:val="000000" w:themeColor="text1"/>
          <w:sz w:val="28"/>
          <w:szCs w:val="28"/>
        </w:rPr>
      </w:pPr>
      <w:bookmarkStart w:id="9" w:name="numeracy-support"/>
      <w:r w:rsidRPr="007F28FB">
        <w:rPr>
          <w:rFonts w:asciiTheme="majorBidi" w:hAnsiTheme="majorBidi"/>
          <w:b/>
          <w:bCs w:val="0"/>
          <w:i w:val="0"/>
          <w:iCs/>
          <w:color w:val="000000" w:themeColor="text1"/>
          <w:sz w:val="28"/>
          <w:szCs w:val="28"/>
        </w:rPr>
        <w:t>3.5 Numeracy Support</w:t>
      </w:r>
      <w:bookmarkEnd w:id="9"/>
    </w:p>
    <w:p w:rsidR="00E93F3C" w:rsidRPr="007F28FB" w:rsidRDefault="00B44E55">
      <w:pPr>
        <w:pStyle w:val="Compact"/>
        <w:numPr>
          <w:ilvl w:val="0"/>
          <w:numId w:val="6"/>
        </w:numPr>
        <w:rPr>
          <w:rFonts w:asciiTheme="majorBidi" w:hAnsiTheme="majorBidi" w:cstheme="majorBidi"/>
          <w:color w:val="000000" w:themeColor="text1"/>
        </w:rPr>
      </w:pPr>
      <w:r w:rsidRPr="007F28FB">
        <w:rPr>
          <w:rFonts w:asciiTheme="majorBidi" w:hAnsiTheme="majorBidi" w:cstheme="majorBidi"/>
          <w:color w:val="000000" w:themeColor="text1"/>
        </w:rPr>
        <w:t>Numeracy instruction incorporates clear, accessible language and visual aids to ensure EAL pupils understand mathematical concepts and terminology.</w:t>
      </w:r>
      <w:r w:rsidRPr="007F28FB">
        <w:rPr>
          <w:rFonts w:asciiTheme="majorBidi" w:hAnsiTheme="majorBidi" w:cstheme="majorBidi"/>
          <w:color w:val="000000" w:themeColor="text1"/>
        </w:rPr>
        <w:br/>
      </w:r>
    </w:p>
    <w:p w:rsidR="00E93F3C" w:rsidRPr="007F28FB" w:rsidRDefault="00B44E55">
      <w:pPr>
        <w:pStyle w:val="Compact"/>
        <w:numPr>
          <w:ilvl w:val="0"/>
          <w:numId w:val="6"/>
        </w:numPr>
        <w:rPr>
          <w:rFonts w:asciiTheme="majorBidi" w:hAnsiTheme="majorBidi" w:cstheme="majorBidi"/>
          <w:color w:val="000000" w:themeColor="text1"/>
        </w:rPr>
      </w:pPr>
      <w:r w:rsidRPr="007F28FB">
        <w:rPr>
          <w:rFonts w:asciiTheme="majorBidi" w:hAnsiTheme="majorBidi" w:cstheme="majorBidi"/>
          <w:color w:val="000000" w:themeColor="text1"/>
        </w:rPr>
        <w:t>Interactive digital tools and games reinforce numeracy skills in an engaging manner suitable for learners w</w:t>
      </w:r>
      <w:r w:rsidRPr="007F28FB">
        <w:rPr>
          <w:rFonts w:asciiTheme="majorBidi" w:hAnsiTheme="majorBidi" w:cstheme="majorBidi"/>
          <w:color w:val="000000" w:themeColor="text1"/>
        </w:rPr>
        <w:t>ith varying English proficiency.</w:t>
      </w:r>
      <w:r w:rsidRPr="007F28FB">
        <w:rPr>
          <w:rFonts w:asciiTheme="majorBidi" w:hAnsiTheme="majorBidi" w:cstheme="majorBidi"/>
          <w:color w:val="000000" w:themeColor="text1"/>
        </w:rPr>
        <w:br/>
      </w:r>
    </w:p>
    <w:p w:rsidR="00E93F3C" w:rsidRPr="007F28FB" w:rsidRDefault="00B44E55">
      <w:pPr>
        <w:pStyle w:val="Compact"/>
        <w:numPr>
          <w:ilvl w:val="0"/>
          <w:numId w:val="6"/>
        </w:numPr>
        <w:rPr>
          <w:rFonts w:asciiTheme="majorBidi" w:hAnsiTheme="majorBidi" w:cstheme="majorBidi"/>
          <w:color w:val="000000" w:themeColor="text1"/>
        </w:rPr>
      </w:pPr>
      <w:r w:rsidRPr="007F28FB">
        <w:rPr>
          <w:rFonts w:asciiTheme="majorBidi" w:hAnsiTheme="majorBidi" w:cstheme="majorBidi"/>
          <w:color w:val="000000" w:themeColor="text1"/>
        </w:rPr>
        <w:t>Teachers provide additional explanations and scaffolded support during live sessions and through recorded tutorials.</w:t>
      </w:r>
    </w:p>
    <w:p w:rsidR="00E93F3C" w:rsidRPr="007F28FB" w:rsidRDefault="00B44E55">
      <w:pPr>
        <w:pStyle w:val="4"/>
        <w:rPr>
          <w:rFonts w:asciiTheme="majorBidi" w:hAnsiTheme="majorBidi"/>
          <w:b/>
          <w:bCs w:val="0"/>
          <w:i w:val="0"/>
          <w:iCs/>
          <w:color w:val="000000" w:themeColor="text1"/>
          <w:sz w:val="28"/>
          <w:szCs w:val="28"/>
        </w:rPr>
      </w:pPr>
      <w:bookmarkStart w:id="10" w:name="parental-engagement-and-communication"/>
      <w:r w:rsidRPr="007F28FB">
        <w:rPr>
          <w:rFonts w:asciiTheme="majorBidi" w:hAnsiTheme="majorBidi"/>
          <w:b/>
          <w:bCs w:val="0"/>
          <w:i w:val="0"/>
          <w:iCs/>
          <w:color w:val="000000" w:themeColor="text1"/>
          <w:sz w:val="28"/>
          <w:szCs w:val="28"/>
        </w:rPr>
        <w:t>3.6 Parental Engagement and Communication</w:t>
      </w:r>
      <w:bookmarkEnd w:id="10"/>
    </w:p>
    <w:p w:rsidR="00E93F3C" w:rsidRPr="007F28FB" w:rsidRDefault="00B44E55">
      <w:pPr>
        <w:pStyle w:val="Compact"/>
        <w:numPr>
          <w:ilvl w:val="0"/>
          <w:numId w:val="7"/>
        </w:numPr>
        <w:rPr>
          <w:rFonts w:asciiTheme="majorBidi" w:hAnsiTheme="majorBidi" w:cstheme="majorBidi"/>
          <w:color w:val="000000" w:themeColor="text1"/>
        </w:rPr>
      </w:pPr>
      <w:r w:rsidRPr="007F28FB">
        <w:rPr>
          <w:rFonts w:asciiTheme="majorBidi" w:hAnsiTheme="majorBidi" w:cstheme="majorBidi"/>
          <w:color w:val="000000" w:themeColor="text1"/>
        </w:rPr>
        <w:t>Parents of EAL pupils receive regular updates and guidance thro</w:t>
      </w:r>
      <w:r w:rsidRPr="007F28FB">
        <w:rPr>
          <w:rFonts w:asciiTheme="majorBidi" w:hAnsiTheme="majorBidi" w:cstheme="majorBidi"/>
          <w:color w:val="000000" w:themeColor="text1"/>
        </w:rPr>
        <w:t>ugh multilingual newsletters, webinars, and digital communication platforms to support their child’s learning at home.</w:t>
      </w:r>
      <w:r w:rsidRPr="007F28FB">
        <w:rPr>
          <w:rFonts w:asciiTheme="majorBidi" w:hAnsiTheme="majorBidi" w:cstheme="majorBidi"/>
          <w:color w:val="000000" w:themeColor="text1"/>
        </w:rPr>
        <w:br/>
      </w:r>
    </w:p>
    <w:p w:rsidR="00E93F3C" w:rsidRPr="007F28FB" w:rsidRDefault="00B44E55">
      <w:pPr>
        <w:pStyle w:val="Compact"/>
        <w:numPr>
          <w:ilvl w:val="0"/>
          <w:numId w:val="7"/>
        </w:numPr>
        <w:rPr>
          <w:rFonts w:asciiTheme="majorBidi" w:hAnsiTheme="majorBidi" w:cstheme="majorBidi"/>
          <w:color w:val="000000" w:themeColor="text1"/>
        </w:rPr>
      </w:pPr>
      <w:r w:rsidRPr="007F28FB">
        <w:rPr>
          <w:rFonts w:asciiTheme="majorBidi" w:hAnsiTheme="majorBidi" w:cstheme="majorBidi"/>
          <w:color w:val="000000" w:themeColor="text1"/>
        </w:rPr>
        <w:lastRenderedPageBreak/>
        <w:t>Translation and interpretation services are available to facilitate effective communication between school staff and families.</w:t>
      </w:r>
      <w:r w:rsidRPr="007F28FB">
        <w:rPr>
          <w:rFonts w:asciiTheme="majorBidi" w:hAnsiTheme="majorBidi" w:cstheme="majorBidi"/>
          <w:color w:val="000000" w:themeColor="text1"/>
        </w:rPr>
        <w:br/>
      </w:r>
    </w:p>
    <w:p w:rsidR="00E93F3C" w:rsidRPr="007F28FB" w:rsidRDefault="00B44E55">
      <w:pPr>
        <w:pStyle w:val="Compact"/>
        <w:numPr>
          <w:ilvl w:val="0"/>
          <w:numId w:val="7"/>
        </w:numPr>
        <w:rPr>
          <w:rFonts w:asciiTheme="majorBidi" w:hAnsiTheme="majorBidi" w:cstheme="majorBidi"/>
          <w:color w:val="000000" w:themeColor="text1"/>
        </w:rPr>
      </w:pPr>
      <w:r w:rsidRPr="007F28FB">
        <w:rPr>
          <w:rFonts w:asciiTheme="majorBidi" w:hAnsiTheme="majorBidi" w:cstheme="majorBidi"/>
          <w:color w:val="000000" w:themeColor="text1"/>
        </w:rPr>
        <w:t xml:space="preserve">Parents </w:t>
      </w:r>
      <w:r w:rsidRPr="007F28FB">
        <w:rPr>
          <w:rFonts w:asciiTheme="majorBidi" w:hAnsiTheme="majorBidi" w:cstheme="majorBidi"/>
          <w:color w:val="000000" w:themeColor="text1"/>
        </w:rPr>
        <w:t>are encouraged to participate in virtual parent-teacher meetings and workshops focused on EAL support strategies.</w:t>
      </w:r>
    </w:p>
    <w:p w:rsidR="00E93F3C" w:rsidRPr="007F28FB" w:rsidRDefault="00B44E55">
      <w:pPr>
        <w:pStyle w:val="4"/>
        <w:rPr>
          <w:rFonts w:asciiTheme="majorBidi" w:hAnsiTheme="majorBidi"/>
          <w:b/>
          <w:bCs w:val="0"/>
          <w:i w:val="0"/>
          <w:iCs/>
          <w:color w:val="000000" w:themeColor="text1"/>
          <w:sz w:val="28"/>
          <w:szCs w:val="28"/>
        </w:rPr>
      </w:pPr>
      <w:bookmarkStart w:id="11" w:name="Xfb2f97acfe2324c241b0a289c8aff5e4f2e6fe1"/>
      <w:r w:rsidRPr="007F28FB">
        <w:rPr>
          <w:rFonts w:asciiTheme="majorBidi" w:hAnsiTheme="majorBidi"/>
          <w:b/>
          <w:bCs w:val="0"/>
          <w:i w:val="0"/>
          <w:iCs/>
          <w:color w:val="000000" w:themeColor="text1"/>
          <w:sz w:val="28"/>
          <w:szCs w:val="28"/>
        </w:rPr>
        <w:t>3.7 Staff Training and Professional Development</w:t>
      </w:r>
      <w:bookmarkEnd w:id="11"/>
    </w:p>
    <w:p w:rsidR="00E93F3C" w:rsidRPr="007F28FB" w:rsidRDefault="00B44E55">
      <w:pPr>
        <w:pStyle w:val="Compact"/>
        <w:numPr>
          <w:ilvl w:val="0"/>
          <w:numId w:val="8"/>
        </w:numPr>
        <w:rPr>
          <w:rFonts w:asciiTheme="majorBidi" w:hAnsiTheme="majorBidi" w:cstheme="majorBidi"/>
          <w:color w:val="000000" w:themeColor="text1"/>
        </w:rPr>
      </w:pPr>
      <w:r w:rsidRPr="007F28FB">
        <w:rPr>
          <w:rFonts w:asciiTheme="majorBidi" w:hAnsiTheme="majorBidi" w:cstheme="majorBidi"/>
          <w:color w:val="000000" w:themeColor="text1"/>
        </w:rPr>
        <w:t>All staff receive ongoing training on EAL best practices in online education, including cultur</w:t>
      </w:r>
      <w:r w:rsidRPr="007F28FB">
        <w:rPr>
          <w:rFonts w:asciiTheme="majorBidi" w:hAnsiTheme="majorBidi" w:cstheme="majorBidi"/>
          <w:color w:val="000000" w:themeColor="text1"/>
        </w:rPr>
        <w:t>al sensitivity, language acquisition theories, and digital pedagogies.</w:t>
      </w:r>
      <w:r w:rsidRPr="007F28FB">
        <w:rPr>
          <w:rFonts w:asciiTheme="majorBidi" w:hAnsiTheme="majorBidi" w:cstheme="majorBidi"/>
          <w:color w:val="000000" w:themeColor="text1"/>
        </w:rPr>
        <w:br/>
      </w:r>
    </w:p>
    <w:p w:rsidR="00E93F3C" w:rsidRPr="007F28FB" w:rsidRDefault="00B44E55">
      <w:pPr>
        <w:pStyle w:val="Compact"/>
        <w:numPr>
          <w:ilvl w:val="0"/>
          <w:numId w:val="8"/>
        </w:numPr>
        <w:rPr>
          <w:rFonts w:asciiTheme="majorBidi" w:hAnsiTheme="majorBidi" w:cstheme="majorBidi"/>
          <w:color w:val="000000" w:themeColor="text1"/>
        </w:rPr>
      </w:pPr>
      <w:r w:rsidRPr="007F28FB">
        <w:rPr>
          <w:rFonts w:asciiTheme="majorBidi" w:hAnsiTheme="majorBidi" w:cstheme="majorBidi"/>
          <w:color w:val="000000" w:themeColor="text1"/>
        </w:rPr>
        <w:t>Specialist EAL staff lead professional development sessions and provide resources to support colleagues in meeting the needs of EAL pupils.</w:t>
      </w:r>
    </w:p>
    <w:p w:rsidR="00E93F3C" w:rsidRPr="007F28FB" w:rsidRDefault="00B44E55">
      <w:pPr>
        <w:pStyle w:val="4"/>
        <w:rPr>
          <w:rFonts w:asciiTheme="majorBidi" w:hAnsiTheme="majorBidi"/>
          <w:b/>
          <w:bCs w:val="0"/>
          <w:i w:val="0"/>
          <w:iCs/>
          <w:color w:val="000000" w:themeColor="text1"/>
          <w:sz w:val="28"/>
          <w:szCs w:val="28"/>
        </w:rPr>
      </w:pPr>
      <w:bookmarkStart w:id="12" w:name="monitoring-and-reporting"/>
      <w:r w:rsidRPr="007F28FB">
        <w:rPr>
          <w:rFonts w:asciiTheme="majorBidi" w:hAnsiTheme="majorBidi"/>
          <w:b/>
          <w:bCs w:val="0"/>
          <w:i w:val="0"/>
          <w:iCs/>
          <w:color w:val="000000" w:themeColor="text1"/>
          <w:sz w:val="28"/>
          <w:szCs w:val="28"/>
        </w:rPr>
        <w:t>3.8 Monitoring and Reporting</w:t>
      </w:r>
      <w:bookmarkEnd w:id="12"/>
    </w:p>
    <w:p w:rsidR="00E93F3C" w:rsidRPr="007F28FB" w:rsidRDefault="00B44E55">
      <w:pPr>
        <w:pStyle w:val="Compact"/>
        <w:numPr>
          <w:ilvl w:val="0"/>
          <w:numId w:val="9"/>
        </w:numPr>
        <w:rPr>
          <w:rFonts w:asciiTheme="majorBidi" w:hAnsiTheme="majorBidi" w:cstheme="majorBidi"/>
          <w:color w:val="000000" w:themeColor="text1"/>
        </w:rPr>
      </w:pPr>
      <w:r w:rsidRPr="007F28FB">
        <w:rPr>
          <w:rFonts w:asciiTheme="majorBidi" w:hAnsiTheme="majorBidi" w:cstheme="majorBidi"/>
          <w:color w:val="000000" w:themeColor="text1"/>
        </w:rPr>
        <w:t>EAL pupil progr</w:t>
      </w:r>
      <w:r w:rsidRPr="007F28FB">
        <w:rPr>
          <w:rFonts w:asciiTheme="majorBidi" w:hAnsiTheme="majorBidi" w:cstheme="majorBidi"/>
          <w:color w:val="000000" w:themeColor="text1"/>
        </w:rPr>
        <w:t>ess is systematically tracked using digital assessment tools aligned with national benchmarks.</w:t>
      </w:r>
      <w:r w:rsidRPr="007F28FB">
        <w:rPr>
          <w:rFonts w:asciiTheme="majorBidi" w:hAnsiTheme="majorBidi" w:cstheme="majorBidi"/>
          <w:color w:val="000000" w:themeColor="text1"/>
        </w:rPr>
        <w:br/>
      </w:r>
    </w:p>
    <w:p w:rsidR="00E93F3C" w:rsidRPr="007F28FB" w:rsidRDefault="00B44E55">
      <w:pPr>
        <w:pStyle w:val="Compact"/>
        <w:numPr>
          <w:ilvl w:val="0"/>
          <w:numId w:val="9"/>
        </w:numPr>
        <w:rPr>
          <w:rFonts w:asciiTheme="majorBidi" w:hAnsiTheme="majorBidi" w:cstheme="majorBidi"/>
          <w:color w:val="000000" w:themeColor="text1"/>
        </w:rPr>
      </w:pPr>
      <w:r w:rsidRPr="007F28FB">
        <w:rPr>
          <w:rFonts w:asciiTheme="majorBidi" w:hAnsiTheme="majorBidi" w:cstheme="majorBidi"/>
          <w:color w:val="000000" w:themeColor="text1"/>
        </w:rPr>
        <w:t>Reports on EAL provision and pupil outcomes are reviewed termly by senior leadership to inform continuous improvement.</w:t>
      </w:r>
      <w:r w:rsidRPr="007F28FB">
        <w:rPr>
          <w:rFonts w:asciiTheme="majorBidi" w:hAnsiTheme="majorBidi" w:cstheme="majorBidi"/>
          <w:color w:val="000000" w:themeColor="text1"/>
        </w:rPr>
        <w:br/>
      </w:r>
    </w:p>
    <w:p w:rsidR="00E93F3C" w:rsidRPr="007F28FB" w:rsidRDefault="00B44E55">
      <w:pPr>
        <w:pStyle w:val="Compact"/>
        <w:numPr>
          <w:ilvl w:val="0"/>
          <w:numId w:val="9"/>
        </w:numPr>
        <w:rPr>
          <w:rFonts w:asciiTheme="majorBidi" w:hAnsiTheme="majorBidi" w:cstheme="majorBidi"/>
          <w:color w:val="000000" w:themeColor="text1"/>
        </w:rPr>
      </w:pPr>
      <w:r w:rsidRPr="007F28FB">
        <w:rPr>
          <w:rFonts w:asciiTheme="majorBidi" w:hAnsiTheme="majorBidi" w:cstheme="majorBidi"/>
          <w:color w:val="000000" w:themeColor="text1"/>
        </w:rPr>
        <w:t>Data is made available to DfE and Ofsted</w:t>
      </w:r>
      <w:r w:rsidRPr="007F28FB">
        <w:rPr>
          <w:rFonts w:asciiTheme="majorBidi" w:hAnsiTheme="majorBidi" w:cstheme="majorBidi"/>
          <w:color w:val="000000" w:themeColor="text1"/>
        </w:rPr>
        <w:t xml:space="preserve"> inspectors to demonstrate compliance with OEAS Standard 1.4.</w:t>
      </w:r>
    </w:p>
    <w:p w:rsidR="00E93F3C" w:rsidRPr="007F28FB" w:rsidRDefault="00E93F3C">
      <w:pPr>
        <w:rPr>
          <w:rFonts w:asciiTheme="majorBidi" w:hAnsiTheme="majorBidi" w:cstheme="majorBidi"/>
          <w:color w:val="000000" w:themeColor="text1"/>
        </w:rPr>
      </w:pPr>
    </w:p>
    <w:p w:rsidR="00E93F3C" w:rsidRPr="007F28FB" w:rsidRDefault="00B44E55">
      <w:pPr>
        <w:pStyle w:val="3"/>
        <w:rPr>
          <w:rFonts w:asciiTheme="majorBidi" w:hAnsiTheme="majorBidi"/>
          <w:color w:val="000000" w:themeColor="text1"/>
          <w:sz w:val="32"/>
          <w:szCs w:val="32"/>
        </w:rPr>
      </w:pPr>
      <w:bookmarkStart w:id="13" w:name="review"/>
      <w:r w:rsidRPr="007F28FB">
        <w:rPr>
          <w:rFonts w:asciiTheme="majorBidi" w:hAnsiTheme="majorBidi"/>
          <w:color w:val="000000" w:themeColor="text1"/>
          <w:sz w:val="32"/>
          <w:szCs w:val="32"/>
        </w:rPr>
        <w:t>4. Review</w:t>
      </w:r>
      <w:bookmarkEnd w:id="13"/>
    </w:p>
    <w:p w:rsidR="00E93F3C" w:rsidRPr="007F28FB" w:rsidRDefault="00B44E55">
      <w:pPr>
        <w:pStyle w:val="FirstParagraph"/>
        <w:rPr>
          <w:rFonts w:asciiTheme="majorBidi" w:hAnsiTheme="majorBidi" w:cstheme="majorBidi"/>
          <w:color w:val="000000" w:themeColor="text1"/>
        </w:rPr>
      </w:pPr>
      <w:r w:rsidRPr="007F28FB">
        <w:rPr>
          <w:rFonts w:asciiTheme="majorBidi" w:hAnsiTheme="majorBidi" w:cstheme="majorBidi"/>
          <w:color w:val="000000" w:themeColor="text1"/>
        </w:rPr>
        <w:t>This policy will be reviewed annually by The Academy of eLearning - Britain in consultation with NextGen Digital School of Britain’s senior leadership team, EAL specialists, and rele</w:t>
      </w:r>
      <w:r w:rsidRPr="007F28FB">
        <w:rPr>
          <w:rFonts w:asciiTheme="majorBidi" w:hAnsiTheme="majorBidi" w:cstheme="majorBidi"/>
          <w:color w:val="000000" w:themeColor="text1"/>
        </w:rPr>
        <w:t>vant stakeholders to ensure ongoing compliance with DfE Online Education Accreditation Scheme standards and to reflect best practices in online EAL provision.</w:t>
      </w:r>
    </w:p>
    <w:sectPr w:rsidR="00E93F3C" w:rsidRPr="007F28FB" w:rsidSect="00626BCE">
      <w:footerReference w:type="default" r:id="rId10"/>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E55" w:rsidRDefault="00B44E55">
      <w:pPr>
        <w:spacing w:after="0"/>
      </w:pPr>
      <w:r>
        <w:separator/>
      </w:r>
    </w:p>
  </w:endnote>
  <w:endnote w:type="continuationSeparator" w:id="0">
    <w:p w:rsidR="00B44E55" w:rsidRDefault="00B44E5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5394105"/>
      <w:docPartObj>
        <w:docPartGallery w:val="Page Numbers (Bottom of Page)"/>
        <w:docPartUnique/>
      </w:docPartObj>
    </w:sdtPr>
    <w:sdtContent>
      <w:p w:rsidR="00626BCE" w:rsidRDefault="00626BCE">
        <w:pPr>
          <w:pStyle w:val="af"/>
          <w:jc w:val="center"/>
        </w:pPr>
        <w:r>
          <w:fldChar w:fldCharType="begin"/>
        </w:r>
        <w:r>
          <w:instrText>PAGE   \* MERGEFORMAT</w:instrText>
        </w:r>
        <w:r>
          <w:fldChar w:fldCharType="separate"/>
        </w:r>
        <w:r w:rsidRPr="00626BCE">
          <w:rPr>
            <w:noProof/>
            <w:lang w:val="ar-SA"/>
          </w:rPr>
          <w:t>1</w:t>
        </w:r>
        <w:r>
          <w:fldChar w:fldCharType="end"/>
        </w:r>
      </w:p>
    </w:sdtContent>
  </w:sdt>
  <w:p w:rsidR="00626BCE" w:rsidRDefault="00626BCE">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E55" w:rsidRDefault="00B44E55">
      <w:r>
        <w:separator/>
      </w:r>
    </w:p>
  </w:footnote>
  <w:footnote w:type="continuationSeparator" w:id="0">
    <w:p w:rsidR="00B44E55" w:rsidRDefault="00B44E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8FB" w:rsidRPr="007F28FB" w:rsidRDefault="007F28FB" w:rsidP="007F28FB">
    <w:pPr>
      <w:spacing w:before="100" w:beforeAutospacing="1" w:after="100" w:afterAutospacing="1"/>
      <w:outlineLvl w:val="0"/>
      <w:rPr>
        <w:rFonts w:asciiTheme="majorBidi" w:eastAsiaTheme="majorEastAsia" w:hAnsiTheme="majorBidi" w:cstheme="majorBidi"/>
        <w:color w:val="000000" w:themeColor="text1"/>
        <w:sz w:val="22"/>
        <w:szCs w:val="22"/>
      </w:rPr>
    </w:pPr>
    <w:r w:rsidRPr="007F28FB">
      <w:rPr>
        <w:rFonts w:asciiTheme="majorBidi" w:eastAsiaTheme="majorEastAsia" w:hAnsiTheme="majorBidi" w:cstheme="majorBidi"/>
        <w:color w:val="000000" w:themeColor="text1"/>
        <w:sz w:val="22"/>
        <w:szCs w:val="22"/>
      </w:rPr>
      <w:t>English as an Additional Language (EAL) Policy</w:t>
    </w:r>
    <w:r>
      <w:rPr>
        <w:rFonts w:asciiTheme="majorBidi" w:eastAsiaTheme="majorEastAsia" w:hAnsiTheme="majorBidi" w:cstheme="majorBidi"/>
        <w:color w:val="000000" w:themeColor="text1"/>
        <w:sz w:val="22"/>
        <w:szCs w:val="22"/>
      </w:rPr>
      <w:t xml:space="preserve"> </w:t>
    </w:r>
    <w:r w:rsidRPr="00DB74E0">
      <w:rPr>
        <w:rFonts w:asciiTheme="majorBidi" w:hAnsiTheme="majorBidi"/>
        <w:color w:val="000000" w:themeColor="text1"/>
        <w:sz w:val="22"/>
        <w:szCs w:val="22"/>
      </w:rPr>
      <w:t>-</w:t>
    </w:r>
    <w:r>
      <w:rPr>
        <w:rFonts w:asciiTheme="majorBidi" w:hAnsiTheme="majorBidi"/>
        <w:color w:val="000000" w:themeColor="text1"/>
        <w:sz w:val="22"/>
        <w:szCs w:val="22"/>
      </w:rPr>
      <w:t xml:space="preserve"> </w:t>
    </w:r>
    <w:proofErr w:type="spellStart"/>
    <w:r w:rsidRPr="00DB74E0">
      <w:rPr>
        <w:rFonts w:asciiTheme="majorBidi" w:hAnsiTheme="majorBidi"/>
        <w:color w:val="000000" w:themeColor="text1"/>
        <w:sz w:val="22"/>
        <w:szCs w:val="22"/>
      </w:rPr>
      <w:t>Ne</w:t>
    </w:r>
    <w:r>
      <w:rPr>
        <w:rFonts w:asciiTheme="majorBidi" w:hAnsiTheme="majorBidi"/>
        <w:color w:val="000000" w:themeColor="text1"/>
        <w:sz w:val="22"/>
        <w:szCs w:val="22"/>
      </w:rPr>
      <w:t>xtGen</w:t>
    </w:r>
    <w:proofErr w:type="spellEnd"/>
    <w:r>
      <w:rPr>
        <w:rFonts w:asciiTheme="majorBidi" w:hAnsiTheme="majorBidi"/>
        <w:color w:val="000000" w:themeColor="text1"/>
        <w:sz w:val="22"/>
        <w:szCs w:val="22"/>
      </w:rPr>
      <w:t xml:space="preserve"> Digital School of Britain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A454B4C"/>
    <w:multiLevelType w:val="multilevel"/>
    <w:tmpl w:val="0422E61A"/>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nsid w:val="2C1AE401"/>
    <w:multiLevelType w:val="multilevel"/>
    <w:tmpl w:val="EEB2AF7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1"/>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626BCE"/>
    <w:rsid w:val="00784D58"/>
    <w:rsid w:val="007F28FB"/>
    <w:rsid w:val="008D6863"/>
    <w:rsid w:val="00B44E55"/>
    <w:rsid w:val="00B86B75"/>
    <w:rsid w:val="00BC48D5"/>
    <w:rsid w:val="00C36279"/>
    <w:rsid w:val="00E315A3"/>
    <w:rsid w:val="00E93F3C"/>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7F28FB"/>
    <w:pPr>
      <w:spacing w:before="120" w:after="120"/>
    </w:pPr>
    <w:rPr>
      <w:rFonts w:ascii="Times New Roman" w:eastAsia="Times New Roman" w:hAnsi="Times New Roman" w:cs="Times New Roman"/>
    </w:rPr>
  </w:style>
  <w:style w:type="table" w:styleId="ad">
    <w:name w:val="Table Grid"/>
    <w:basedOn w:val="a2"/>
    <w:uiPriority w:val="59"/>
    <w:rsid w:val="007F28FB"/>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7F28FB"/>
    <w:pPr>
      <w:tabs>
        <w:tab w:val="center" w:pos="4153"/>
        <w:tab w:val="right" w:pos="8306"/>
      </w:tabs>
      <w:spacing w:after="0"/>
    </w:pPr>
  </w:style>
  <w:style w:type="character" w:customStyle="1" w:styleId="Char0">
    <w:name w:val="رأس الصفحة Char"/>
    <w:basedOn w:val="a1"/>
    <w:link w:val="ae"/>
    <w:rsid w:val="007F28FB"/>
  </w:style>
  <w:style w:type="paragraph" w:styleId="af">
    <w:name w:val="footer"/>
    <w:basedOn w:val="a"/>
    <w:link w:val="Char1"/>
    <w:uiPriority w:val="99"/>
    <w:rsid w:val="007F28FB"/>
    <w:pPr>
      <w:tabs>
        <w:tab w:val="center" w:pos="4153"/>
        <w:tab w:val="right" w:pos="8306"/>
      </w:tabs>
      <w:spacing w:after="0"/>
    </w:pPr>
  </w:style>
  <w:style w:type="character" w:customStyle="1" w:styleId="Char1">
    <w:name w:val="تذييل الصفحة Char"/>
    <w:basedOn w:val="a1"/>
    <w:link w:val="af"/>
    <w:uiPriority w:val="99"/>
    <w:rsid w:val="007F28F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67">
    <w:lsdException w:name="heading 1" w:uiPriority="9" w:qFormat="1"/>
    <w:lsdException w:name="footer" w:uiPriority="99"/>
    <w:lsdException w:name="Table Grid" w:uiPriority="59"/>
  </w:latentStyles>
  <w:style w:type="paragraph" w:default="1" w:styleId="a">
    <w:name w:val="Normal"/>
    <w:qFormat/>
  </w:style>
  <w:style w:type="paragraph" w:styleId="1">
    <w:name w:val="heading 1"/>
    <w:basedOn w:val="a"/>
    <w:next w:val="a0"/>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2">
    <w:name w:val="heading 2"/>
    <w:basedOn w:val="a"/>
    <w:next w:val="a0"/>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3">
    <w:name w:val="heading 3"/>
    <w:basedOn w:val="a"/>
    <w:next w:val="a0"/>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0"/>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5">
    <w:name w:val="heading 5"/>
    <w:basedOn w:val="a"/>
    <w:next w:val="a0"/>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6">
    <w:name w:val="heading 6"/>
    <w:basedOn w:val="a"/>
    <w:next w:val="a0"/>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7">
    <w:name w:val="heading 7"/>
    <w:basedOn w:val="a"/>
    <w:next w:val="a0"/>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8">
    <w:name w:val="heading 8"/>
    <w:basedOn w:val="a"/>
    <w:next w:val="a0"/>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9">
    <w:name w:val="heading 9"/>
    <w:basedOn w:val="a"/>
    <w:next w:val="a0"/>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a5">
    <w:name w:val="Subtitle"/>
    <w:basedOn w:val="a4"/>
    <w:next w:val="a0"/>
    <w:qFormat/>
    <w:pPr>
      <w:spacing w:before="240"/>
    </w:pPr>
    <w:rPr>
      <w:sz w:val="30"/>
      <w:szCs w:val="30"/>
    </w:rPr>
  </w:style>
  <w:style w:type="paragraph" w:customStyle="1" w:styleId="Author">
    <w:name w:val="Author"/>
    <w:next w:val="a0"/>
    <w:qFormat/>
    <w:pPr>
      <w:keepNext/>
      <w:keepLines/>
      <w:jc w:val="center"/>
    </w:pPr>
  </w:style>
  <w:style w:type="paragraph" w:styleId="a6">
    <w:name w:val="Date"/>
    <w:next w:val="a0"/>
    <w:qFormat/>
    <w:pPr>
      <w:keepNext/>
      <w:keepLines/>
      <w:jc w:val="center"/>
    </w:pPr>
  </w:style>
  <w:style w:type="paragraph" w:customStyle="1" w:styleId="Abstract">
    <w:name w:val="Abstract"/>
    <w:basedOn w:val="a"/>
    <w:next w:val="a0"/>
    <w:qFormat/>
    <w:pPr>
      <w:keepNext/>
      <w:keepLines/>
      <w:spacing w:before="300" w:after="300"/>
    </w:pPr>
    <w:rPr>
      <w:sz w:val="20"/>
      <w:szCs w:val="20"/>
    </w:rPr>
  </w:style>
  <w:style w:type="paragraph" w:styleId="a7">
    <w:name w:val="Bibliography"/>
    <w:basedOn w:val="a"/>
    <w:qFormat/>
  </w:style>
  <w:style w:type="paragraph" w:styleId="a8">
    <w:name w:val="Block Text"/>
    <w:basedOn w:val="a0"/>
    <w:next w:val="a0"/>
    <w:uiPriority w:val="9"/>
    <w:unhideWhenUsed/>
    <w:qFormat/>
    <w:pPr>
      <w:spacing w:before="100" w:after="100"/>
      <w:ind w:left="480" w:right="480"/>
    </w:pPr>
  </w:style>
  <w:style w:type="paragraph" w:styleId="a9">
    <w:name w:val="footnote text"/>
    <w:basedOn w:val="a"/>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a">
    <w:name w:val="caption"/>
    <w:basedOn w:val="a"/>
    <w:link w:val="Char"/>
    <w:pPr>
      <w:spacing w:after="120"/>
    </w:pPr>
    <w:rPr>
      <w:i/>
    </w:rPr>
  </w:style>
  <w:style w:type="paragraph" w:customStyle="1" w:styleId="TableCaption">
    <w:name w:val="Table Caption"/>
    <w:basedOn w:val="aa"/>
    <w:pPr>
      <w:keepNext/>
    </w:pPr>
  </w:style>
  <w:style w:type="paragraph" w:customStyle="1" w:styleId="ImageCaption">
    <w:name w:val="Image Caption"/>
    <w:basedOn w:val="aa"/>
  </w:style>
  <w:style w:type="paragraph" w:customStyle="1" w:styleId="Figure">
    <w:name w:val="Figure"/>
    <w:basedOn w:val="a"/>
  </w:style>
  <w:style w:type="paragraph" w:customStyle="1" w:styleId="CaptionedFigure">
    <w:name w:val="Captioned Figure"/>
    <w:basedOn w:val="Figure"/>
    <w:pPr>
      <w:keepNext/>
    </w:pPr>
  </w:style>
  <w:style w:type="character" w:customStyle="1" w:styleId="Char">
    <w:name w:val="تسمية توضيحية Char"/>
    <w:basedOn w:val="a1"/>
    <w:link w:val="aa"/>
  </w:style>
  <w:style w:type="character" w:customStyle="1" w:styleId="VerbatimChar">
    <w:name w:val="Verbatim Char"/>
    <w:basedOn w:val="Char"/>
    <w:link w:val="SourceCode"/>
    <w:rPr>
      <w:rFonts w:ascii="Consolas" w:hAnsi="Consolas"/>
      <w:sz w:val="22"/>
    </w:rPr>
  </w:style>
  <w:style w:type="character" w:styleId="ab">
    <w:name w:val="footnote reference"/>
    <w:basedOn w:val="Char"/>
    <w:rPr>
      <w:vertAlign w:val="superscript"/>
    </w:rPr>
  </w:style>
  <w:style w:type="character" w:styleId="Hyperlink">
    <w:name w:val="Hyperlink"/>
    <w:basedOn w:val="Char"/>
    <w:rPr>
      <w:color w:val="4F81BD" w:themeColor="accent1"/>
    </w:rPr>
  </w:style>
  <w:style w:type="paragraph" w:styleId="ac">
    <w:name w:val="TOC Heading"/>
    <w:basedOn w:val="1"/>
    <w:next w:val="a0"/>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MdParagraph">
    <w:name w:val="MdParagraph"/>
    <w:qFormat/>
    <w:rsid w:val="007F28FB"/>
    <w:pPr>
      <w:spacing w:before="120" w:after="120"/>
    </w:pPr>
    <w:rPr>
      <w:rFonts w:ascii="Times New Roman" w:eastAsia="Times New Roman" w:hAnsi="Times New Roman" w:cs="Times New Roman"/>
    </w:rPr>
  </w:style>
  <w:style w:type="table" w:styleId="ad">
    <w:name w:val="Table Grid"/>
    <w:basedOn w:val="a2"/>
    <w:uiPriority w:val="59"/>
    <w:rsid w:val="007F28FB"/>
    <w:pPr>
      <w:spacing w:after="0"/>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
    <w:link w:val="Char0"/>
    <w:rsid w:val="007F28FB"/>
    <w:pPr>
      <w:tabs>
        <w:tab w:val="center" w:pos="4153"/>
        <w:tab w:val="right" w:pos="8306"/>
      </w:tabs>
      <w:spacing w:after="0"/>
    </w:pPr>
  </w:style>
  <w:style w:type="character" w:customStyle="1" w:styleId="Char0">
    <w:name w:val="رأس الصفحة Char"/>
    <w:basedOn w:val="a1"/>
    <w:link w:val="ae"/>
    <w:rsid w:val="007F28FB"/>
  </w:style>
  <w:style w:type="paragraph" w:styleId="af">
    <w:name w:val="footer"/>
    <w:basedOn w:val="a"/>
    <w:link w:val="Char1"/>
    <w:uiPriority w:val="99"/>
    <w:rsid w:val="007F28FB"/>
    <w:pPr>
      <w:tabs>
        <w:tab w:val="center" w:pos="4153"/>
        <w:tab w:val="right" w:pos="8306"/>
      </w:tabs>
      <w:spacing w:after="0"/>
    </w:pPr>
  </w:style>
  <w:style w:type="character" w:customStyle="1" w:styleId="Char1">
    <w:name w:val="تذييل الصفحة Char"/>
    <w:basedOn w:val="a1"/>
    <w:link w:val="af"/>
    <w:uiPriority w:val="99"/>
    <w:rsid w:val="007F28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863</Words>
  <Characters>4924</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kii ky7hx0pgbvn ;v'mb\nc</dc:creator>
  <cp:lastModifiedBy>kii ky7hx0pgbvn ;v'mb\nc</cp:lastModifiedBy>
  <cp:revision>2</cp:revision>
  <dcterms:created xsi:type="dcterms:W3CDTF">2025-11-25T10:04:00Z</dcterms:created>
  <dcterms:modified xsi:type="dcterms:W3CDTF">2025-11-25T10:04:00Z</dcterms:modified>
</cp:coreProperties>
</file>