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6DC6" w:rsidRPr="002D4AB6" w:rsidRDefault="008A6DC6" w:rsidP="008A6DC6">
      <w:pPr>
        <w:spacing w:before="100" w:beforeAutospacing="1" w:after="100" w:afterAutospacing="1"/>
        <w:outlineLvl w:val="0"/>
        <w:rPr>
          <w:b/>
          <w:bCs/>
          <w:kern w:val="36"/>
          <w:sz w:val="48"/>
          <w:szCs w:val="48"/>
        </w:rPr>
      </w:pPr>
      <w:bookmarkStart w:id="0" w:name="anti-fraud-anti-bribery-policy"/>
    </w:p>
    <w:p w:rsidR="008A6DC6" w:rsidRDefault="008A6DC6" w:rsidP="008A6DC6">
      <w:pPr>
        <w:spacing w:before="100" w:beforeAutospacing="1" w:after="100" w:afterAutospacing="1"/>
        <w:outlineLvl w:val="0"/>
        <w:rPr>
          <w:b/>
          <w:bCs/>
          <w:kern w:val="36"/>
          <w:sz w:val="48"/>
          <w:szCs w:val="48"/>
        </w:rPr>
      </w:pPr>
    </w:p>
    <w:p w:rsidR="008A6DC6" w:rsidRDefault="008A6DC6" w:rsidP="008A6DC6">
      <w:pPr>
        <w:spacing w:before="100" w:beforeAutospacing="1" w:after="100" w:afterAutospacing="1"/>
        <w:outlineLvl w:val="0"/>
        <w:rPr>
          <w:b/>
          <w:bCs/>
          <w:kern w:val="36"/>
          <w:sz w:val="48"/>
          <w:szCs w:val="48"/>
        </w:rPr>
      </w:pPr>
      <w:r>
        <w:rPr>
          <w:b/>
          <w:bCs/>
          <w:noProof/>
          <w:kern w:val="36"/>
          <w:sz w:val="48"/>
          <w:szCs w:val="48"/>
        </w:rPr>
        <w:drawing>
          <wp:anchor distT="0" distB="0" distL="114300" distR="114300" simplePos="0" relativeHeight="251658752" behindDoc="0" locked="0" layoutInCell="1" allowOverlap="1" wp14:anchorId="5CF3F80F" wp14:editId="16803FAD">
            <wp:simplePos x="0" y="0"/>
            <wp:positionH relativeFrom="margin">
              <wp:posOffset>1914525</wp:posOffset>
            </wp:positionH>
            <wp:positionV relativeFrom="margin">
              <wp:posOffset>1158875</wp:posOffset>
            </wp:positionV>
            <wp:extent cx="1428750" cy="1087755"/>
            <wp:effectExtent l="0" t="0" r="0" b="0"/>
            <wp:wrapSquare wrapText="bothSides"/>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b0f19a6-9956-4585-80ab-cbbff0e0052f.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28750" cy="1087755"/>
                    </a:xfrm>
                    <a:prstGeom prst="rect">
                      <a:avLst/>
                    </a:prstGeom>
                  </pic:spPr>
                </pic:pic>
              </a:graphicData>
            </a:graphic>
            <wp14:sizeRelH relativeFrom="margin">
              <wp14:pctWidth>0</wp14:pctWidth>
            </wp14:sizeRelH>
            <wp14:sizeRelV relativeFrom="margin">
              <wp14:pctHeight>0</wp14:pctHeight>
            </wp14:sizeRelV>
          </wp:anchor>
        </w:drawing>
      </w:r>
    </w:p>
    <w:p w:rsidR="008A6DC6" w:rsidRDefault="008A6DC6" w:rsidP="008A6DC6">
      <w:pPr>
        <w:spacing w:before="100" w:beforeAutospacing="1" w:after="100" w:afterAutospacing="1"/>
        <w:outlineLvl w:val="0"/>
        <w:rPr>
          <w:b/>
          <w:bCs/>
          <w:kern w:val="36"/>
          <w:sz w:val="48"/>
          <w:szCs w:val="48"/>
        </w:rPr>
      </w:pPr>
    </w:p>
    <w:p w:rsidR="008A6DC6" w:rsidRDefault="008A6DC6" w:rsidP="008A6DC6">
      <w:pPr>
        <w:spacing w:before="100" w:beforeAutospacing="1" w:after="100" w:afterAutospacing="1"/>
        <w:outlineLvl w:val="0"/>
        <w:rPr>
          <w:b/>
          <w:bCs/>
          <w:kern w:val="36"/>
          <w:sz w:val="48"/>
          <w:szCs w:val="48"/>
        </w:rPr>
      </w:pPr>
    </w:p>
    <w:p w:rsidR="008A6DC6" w:rsidRDefault="008A6DC6" w:rsidP="008A6DC6">
      <w:pPr>
        <w:spacing w:before="100" w:beforeAutospacing="1" w:after="100" w:afterAutospacing="1"/>
        <w:outlineLvl w:val="0"/>
        <w:rPr>
          <w:b/>
          <w:bCs/>
          <w:kern w:val="36"/>
          <w:sz w:val="48"/>
          <w:szCs w:val="48"/>
        </w:rPr>
      </w:pPr>
    </w:p>
    <w:p w:rsidR="008A6DC6" w:rsidRDefault="008A6DC6" w:rsidP="008A6DC6">
      <w:pPr>
        <w:pStyle w:val="1"/>
        <w:rPr>
          <w:color w:val="000000" w:themeColor="text1"/>
          <w:sz w:val="52"/>
          <w:szCs w:val="52"/>
        </w:rPr>
      </w:pPr>
      <w:bookmarkStart w:id="1" w:name="_GoBack"/>
      <w:r w:rsidRPr="008A6DC6">
        <w:rPr>
          <w:color w:val="000000" w:themeColor="text1"/>
          <w:sz w:val="52"/>
          <w:szCs w:val="52"/>
        </w:rPr>
        <w:t>Anti-Fraud &amp; Anti-Bribery Policy</w:t>
      </w:r>
    </w:p>
    <w:bookmarkEnd w:id="1"/>
    <w:p w:rsidR="008A6DC6" w:rsidRPr="008A6DC6" w:rsidRDefault="008A6DC6" w:rsidP="008A6DC6">
      <w:pPr>
        <w:pStyle w:val="a0"/>
      </w:pPr>
    </w:p>
    <w:p w:rsidR="008A6DC6" w:rsidRPr="00DB74E0" w:rsidRDefault="008A6DC6" w:rsidP="008A6DC6">
      <w:pPr>
        <w:spacing w:before="100" w:beforeAutospacing="1" w:after="100" w:afterAutospacing="1"/>
        <w:outlineLvl w:val="0"/>
        <w:rPr>
          <w:b/>
          <w:bCs/>
          <w:kern w:val="36"/>
          <w:sz w:val="48"/>
          <w:szCs w:val="48"/>
        </w:rPr>
      </w:pPr>
      <w:proofErr w:type="spellStart"/>
      <w:r w:rsidRPr="00DB74E0">
        <w:rPr>
          <w:b/>
          <w:sz w:val="40"/>
          <w:szCs w:val="40"/>
        </w:rPr>
        <w:t>NextGen</w:t>
      </w:r>
      <w:proofErr w:type="spellEnd"/>
      <w:r w:rsidRPr="00DB74E0">
        <w:rPr>
          <w:b/>
          <w:sz w:val="40"/>
          <w:szCs w:val="40"/>
        </w:rPr>
        <w:t xml:space="preserve"> Digital School of Britain</w:t>
      </w:r>
      <w:r w:rsidRPr="00DB74E0">
        <w:rPr>
          <w:sz w:val="32"/>
          <w:szCs w:val="32"/>
        </w:rPr>
        <w:br/>
      </w:r>
      <w:r w:rsidRPr="00DB74E0">
        <w:rPr>
          <w:b/>
          <w:sz w:val="28"/>
          <w:szCs w:val="28"/>
        </w:rPr>
        <w:t>Authoring Body: The Academy of eLearning - Britain</w:t>
      </w:r>
      <w:r w:rsidRPr="00DB74E0">
        <w:rPr>
          <w:b/>
          <w:bCs/>
          <w:kern w:val="36"/>
          <w:sz w:val="40"/>
          <w:szCs w:val="40"/>
        </w:rPr>
        <w:t xml:space="preserve"> </w:t>
      </w:r>
    </w:p>
    <w:p w:rsidR="008A6DC6" w:rsidRDefault="008A6DC6" w:rsidP="008A6DC6">
      <w:pPr>
        <w:spacing w:before="100" w:beforeAutospacing="1" w:after="100" w:afterAutospacing="1"/>
        <w:outlineLvl w:val="0"/>
        <w:rPr>
          <w:b/>
          <w:bCs/>
          <w:kern w:val="36"/>
          <w:sz w:val="48"/>
          <w:szCs w:val="48"/>
        </w:rPr>
      </w:pPr>
    </w:p>
    <w:p w:rsidR="008A6DC6" w:rsidRDefault="008A6DC6" w:rsidP="008A6DC6">
      <w:pPr>
        <w:spacing w:before="100" w:beforeAutospacing="1" w:after="100" w:afterAutospacing="1"/>
        <w:outlineLvl w:val="0"/>
        <w:rPr>
          <w:b/>
          <w:bCs/>
          <w:kern w:val="36"/>
          <w:sz w:val="48"/>
          <w:szCs w:val="48"/>
        </w:rPr>
      </w:pPr>
    </w:p>
    <w:p w:rsidR="008A6DC6" w:rsidRDefault="008A6DC6" w:rsidP="008A6DC6">
      <w:pPr>
        <w:spacing w:before="100" w:beforeAutospacing="1" w:after="100" w:afterAutospacing="1"/>
        <w:outlineLvl w:val="0"/>
        <w:rPr>
          <w:b/>
          <w:bCs/>
          <w:kern w:val="36"/>
          <w:sz w:val="48"/>
          <w:szCs w:val="48"/>
        </w:rPr>
      </w:pPr>
    </w:p>
    <w:p w:rsidR="008A6DC6" w:rsidRDefault="008A6DC6" w:rsidP="008A6DC6">
      <w:pPr>
        <w:spacing w:before="100" w:beforeAutospacing="1" w:after="100" w:afterAutospacing="1"/>
        <w:outlineLvl w:val="0"/>
        <w:rPr>
          <w:b/>
          <w:bCs/>
          <w:kern w:val="36"/>
          <w:sz w:val="48"/>
          <w:szCs w:val="48"/>
        </w:rPr>
      </w:pPr>
    </w:p>
    <w:p w:rsidR="008A6DC6" w:rsidRDefault="008A6DC6" w:rsidP="008A6DC6">
      <w:pPr>
        <w:spacing w:before="100" w:beforeAutospacing="1" w:after="100" w:afterAutospacing="1"/>
        <w:outlineLvl w:val="0"/>
        <w:rPr>
          <w:b/>
          <w:bCs/>
          <w:kern w:val="36"/>
          <w:sz w:val="48"/>
          <w:szCs w:val="48"/>
        </w:rPr>
      </w:pPr>
    </w:p>
    <w:p w:rsidR="008A6DC6" w:rsidRDefault="008A6DC6" w:rsidP="008A6DC6">
      <w:pPr>
        <w:spacing w:before="100" w:beforeAutospacing="1" w:after="100" w:afterAutospacing="1"/>
        <w:outlineLvl w:val="0"/>
        <w:rPr>
          <w:b/>
          <w:bCs/>
          <w:kern w:val="36"/>
          <w:sz w:val="48"/>
          <w:szCs w:val="48"/>
        </w:rPr>
      </w:pPr>
    </w:p>
    <w:p w:rsidR="008A6DC6" w:rsidRDefault="008A6DC6" w:rsidP="008A6DC6">
      <w:pPr>
        <w:spacing w:before="100" w:beforeAutospacing="1" w:after="100" w:afterAutospacing="1"/>
        <w:outlineLvl w:val="0"/>
        <w:rPr>
          <w:b/>
          <w:bCs/>
          <w:sz w:val="36"/>
          <w:szCs w:val="36"/>
        </w:rPr>
      </w:pPr>
      <w:r>
        <w:rPr>
          <w:b/>
          <w:bCs/>
          <w:sz w:val="36"/>
          <w:szCs w:val="36"/>
        </w:rPr>
        <w:t>Table of Content</w:t>
      </w:r>
    </w:p>
    <w:tbl>
      <w:tblPr>
        <w:tblStyle w:val="ad"/>
        <w:tblW w:w="0" w:type="auto"/>
        <w:tblLook w:val="04A0" w:firstRow="1" w:lastRow="0" w:firstColumn="1" w:lastColumn="0" w:noHBand="0" w:noVBand="1"/>
      </w:tblPr>
      <w:tblGrid>
        <w:gridCol w:w="4261"/>
        <w:gridCol w:w="4261"/>
      </w:tblGrid>
      <w:tr w:rsidR="008A6DC6" w:rsidTr="008823AD">
        <w:tc>
          <w:tcPr>
            <w:tcW w:w="4261" w:type="dxa"/>
          </w:tcPr>
          <w:p w:rsidR="008A6DC6" w:rsidRPr="009A1C0E" w:rsidRDefault="008A6DC6" w:rsidP="008823AD">
            <w:pPr>
              <w:spacing w:before="100" w:beforeAutospacing="1" w:after="100" w:afterAutospacing="1"/>
              <w:outlineLvl w:val="0"/>
              <w:rPr>
                <w:rFonts w:ascii="Times New Roman" w:eastAsia="Times New Roman" w:hAnsi="Times New Roman" w:cs="Times New Roman"/>
                <w:sz w:val="24"/>
                <w:szCs w:val="24"/>
              </w:rPr>
            </w:pPr>
            <w:r w:rsidRPr="009A1C0E">
              <w:rPr>
                <w:rFonts w:ascii="Times New Roman" w:eastAsia="Times New Roman" w:hAnsi="Times New Roman" w:cs="Times New Roman"/>
                <w:sz w:val="24"/>
                <w:szCs w:val="24"/>
              </w:rPr>
              <w:t>Topic</w:t>
            </w:r>
          </w:p>
        </w:tc>
        <w:tc>
          <w:tcPr>
            <w:tcW w:w="4261" w:type="dxa"/>
          </w:tcPr>
          <w:p w:rsidR="008A6DC6" w:rsidRPr="009A1C0E" w:rsidRDefault="008A6DC6" w:rsidP="008823AD">
            <w:pPr>
              <w:spacing w:before="100" w:beforeAutospacing="1" w:after="100" w:afterAutospacing="1"/>
              <w:outlineLvl w:val="0"/>
              <w:rPr>
                <w:rFonts w:ascii="Times New Roman" w:eastAsia="Times New Roman" w:hAnsi="Times New Roman" w:cs="Times New Roman"/>
                <w:sz w:val="24"/>
                <w:szCs w:val="24"/>
              </w:rPr>
            </w:pPr>
            <w:r w:rsidRPr="009A1C0E">
              <w:rPr>
                <w:rFonts w:ascii="Times New Roman" w:eastAsia="Times New Roman" w:hAnsi="Times New Roman" w:cs="Times New Roman"/>
                <w:sz w:val="24"/>
                <w:szCs w:val="24"/>
              </w:rPr>
              <w:t>Page Number</w:t>
            </w:r>
          </w:p>
        </w:tc>
      </w:tr>
      <w:tr w:rsidR="008A6DC6" w:rsidTr="008823AD">
        <w:tc>
          <w:tcPr>
            <w:tcW w:w="4261" w:type="dxa"/>
          </w:tcPr>
          <w:p w:rsidR="008A6DC6" w:rsidRPr="00012D7F" w:rsidRDefault="008A6DC6" w:rsidP="008823AD">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1. Policy Statement / Aims</w:t>
            </w:r>
          </w:p>
        </w:tc>
        <w:tc>
          <w:tcPr>
            <w:tcW w:w="4261" w:type="dxa"/>
          </w:tcPr>
          <w:p w:rsidR="008A6DC6" w:rsidRPr="00D42445" w:rsidRDefault="008A6DC6" w:rsidP="008823AD">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8A6DC6" w:rsidTr="008823AD">
        <w:tc>
          <w:tcPr>
            <w:tcW w:w="4261" w:type="dxa"/>
          </w:tcPr>
          <w:p w:rsidR="008A6DC6" w:rsidRPr="00012D7F" w:rsidRDefault="008A6DC6" w:rsidP="008823AD">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2. Scope</w:t>
            </w:r>
          </w:p>
        </w:tc>
        <w:tc>
          <w:tcPr>
            <w:tcW w:w="4261" w:type="dxa"/>
          </w:tcPr>
          <w:p w:rsidR="008A6DC6" w:rsidRPr="00D42445" w:rsidRDefault="008A6DC6" w:rsidP="008823AD">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8A6DC6" w:rsidTr="008823AD">
        <w:tc>
          <w:tcPr>
            <w:tcW w:w="4261" w:type="dxa"/>
          </w:tcPr>
          <w:p w:rsidR="008A6DC6" w:rsidRPr="00012D7F" w:rsidRDefault="008A6DC6" w:rsidP="008823AD">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3. Procedures / Key Principles</w:t>
            </w:r>
          </w:p>
        </w:tc>
        <w:tc>
          <w:tcPr>
            <w:tcW w:w="4261" w:type="dxa"/>
          </w:tcPr>
          <w:p w:rsidR="008A6DC6" w:rsidRPr="00D42445" w:rsidRDefault="008A6DC6" w:rsidP="008823AD">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8A6DC6" w:rsidTr="008823AD">
        <w:tc>
          <w:tcPr>
            <w:tcW w:w="4261" w:type="dxa"/>
          </w:tcPr>
          <w:p w:rsidR="008A6DC6" w:rsidRPr="008A6DC6" w:rsidRDefault="008A6DC6" w:rsidP="008A6DC6">
            <w:pPr>
              <w:spacing w:before="100" w:beforeAutospacing="1" w:after="100" w:afterAutospacing="1"/>
              <w:outlineLvl w:val="0"/>
              <w:rPr>
                <w:rFonts w:ascii="Times New Roman" w:eastAsia="Times New Roman" w:hAnsi="Times New Roman" w:cs="Times New Roman"/>
                <w:sz w:val="24"/>
                <w:szCs w:val="24"/>
              </w:rPr>
            </w:pPr>
            <w:r w:rsidRPr="008A6DC6">
              <w:rPr>
                <w:rFonts w:ascii="Times New Roman" w:eastAsia="Times New Roman" w:hAnsi="Times New Roman" w:cs="Times New Roman"/>
                <w:sz w:val="24"/>
                <w:szCs w:val="24"/>
              </w:rPr>
              <w:t>3.1 Commitment to Prevention</w:t>
            </w:r>
          </w:p>
        </w:tc>
        <w:tc>
          <w:tcPr>
            <w:tcW w:w="4261" w:type="dxa"/>
          </w:tcPr>
          <w:p w:rsidR="008A6DC6" w:rsidRPr="00D42445" w:rsidRDefault="008A6DC6" w:rsidP="008823AD">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8A6DC6" w:rsidTr="008823AD">
        <w:tc>
          <w:tcPr>
            <w:tcW w:w="4261" w:type="dxa"/>
          </w:tcPr>
          <w:p w:rsidR="008A6DC6" w:rsidRPr="008A6DC6" w:rsidRDefault="008A6DC6" w:rsidP="008A6DC6">
            <w:pPr>
              <w:spacing w:before="100" w:beforeAutospacing="1" w:after="100" w:afterAutospacing="1"/>
              <w:outlineLvl w:val="0"/>
              <w:rPr>
                <w:rFonts w:ascii="Times New Roman" w:eastAsia="Times New Roman" w:hAnsi="Times New Roman" w:cs="Times New Roman"/>
                <w:sz w:val="24"/>
                <w:szCs w:val="24"/>
              </w:rPr>
            </w:pPr>
            <w:r w:rsidRPr="008A6DC6">
              <w:rPr>
                <w:rFonts w:ascii="Times New Roman" w:eastAsia="Times New Roman" w:hAnsi="Times New Roman" w:cs="Times New Roman"/>
                <w:sz w:val="24"/>
                <w:szCs w:val="24"/>
              </w:rPr>
              <w:t>3.2 Definitions</w:t>
            </w:r>
          </w:p>
        </w:tc>
        <w:tc>
          <w:tcPr>
            <w:tcW w:w="4261" w:type="dxa"/>
          </w:tcPr>
          <w:p w:rsidR="008A6DC6" w:rsidRPr="00D42445" w:rsidRDefault="008A6DC6" w:rsidP="008823AD">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8A6DC6" w:rsidTr="008823AD">
        <w:tc>
          <w:tcPr>
            <w:tcW w:w="4261" w:type="dxa"/>
          </w:tcPr>
          <w:p w:rsidR="008A6DC6" w:rsidRPr="008A6DC6" w:rsidRDefault="008A6DC6" w:rsidP="008A6DC6">
            <w:pPr>
              <w:spacing w:before="100" w:beforeAutospacing="1" w:after="100" w:afterAutospacing="1"/>
              <w:outlineLvl w:val="0"/>
              <w:rPr>
                <w:rFonts w:ascii="Times New Roman" w:eastAsia="Times New Roman" w:hAnsi="Times New Roman" w:cs="Times New Roman"/>
                <w:sz w:val="24"/>
                <w:szCs w:val="24"/>
              </w:rPr>
            </w:pPr>
            <w:r w:rsidRPr="008A6DC6">
              <w:rPr>
                <w:rFonts w:ascii="Times New Roman" w:eastAsia="Times New Roman" w:hAnsi="Times New Roman" w:cs="Times New Roman"/>
                <w:sz w:val="24"/>
                <w:szCs w:val="24"/>
              </w:rPr>
              <w:t>3.3 Risk Assessment and Controls</w:t>
            </w:r>
          </w:p>
        </w:tc>
        <w:tc>
          <w:tcPr>
            <w:tcW w:w="4261" w:type="dxa"/>
          </w:tcPr>
          <w:p w:rsidR="008A6DC6" w:rsidRPr="00D42445" w:rsidRDefault="008A6DC6" w:rsidP="008823AD">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2</w:t>
            </w:r>
          </w:p>
        </w:tc>
      </w:tr>
      <w:tr w:rsidR="008A6DC6" w:rsidTr="008823AD">
        <w:tc>
          <w:tcPr>
            <w:tcW w:w="4261" w:type="dxa"/>
          </w:tcPr>
          <w:p w:rsidR="008A6DC6" w:rsidRPr="008A6DC6" w:rsidRDefault="008A6DC6" w:rsidP="008A6DC6">
            <w:pPr>
              <w:spacing w:before="100" w:beforeAutospacing="1" w:after="100" w:afterAutospacing="1"/>
              <w:outlineLvl w:val="0"/>
              <w:rPr>
                <w:rFonts w:ascii="Times New Roman" w:eastAsia="Times New Roman" w:hAnsi="Times New Roman" w:cs="Times New Roman"/>
                <w:sz w:val="24"/>
                <w:szCs w:val="24"/>
              </w:rPr>
            </w:pPr>
            <w:r w:rsidRPr="008A6DC6">
              <w:rPr>
                <w:rFonts w:ascii="Times New Roman" w:eastAsia="Times New Roman" w:hAnsi="Times New Roman" w:cs="Times New Roman"/>
                <w:sz w:val="24"/>
                <w:szCs w:val="24"/>
              </w:rPr>
              <w:t>3.4 Staff Training and Awareness</w:t>
            </w:r>
          </w:p>
        </w:tc>
        <w:tc>
          <w:tcPr>
            <w:tcW w:w="4261" w:type="dxa"/>
          </w:tcPr>
          <w:p w:rsidR="008A6DC6" w:rsidRPr="00D42445" w:rsidRDefault="008A6DC6" w:rsidP="008823AD">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8A6DC6" w:rsidTr="008823AD">
        <w:tc>
          <w:tcPr>
            <w:tcW w:w="4261" w:type="dxa"/>
          </w:tcPr>
          <w:p w:rsidR="008A6DC6" w:rsidRPr="008A6DC6" w:rsidRDefault="008A6DC6" w:rsidP="008A6DC6">
            <w:pPr>
              <w:spacing w:before="100" w:beforeAutospacing="1" w:after="100" w:afterAutospacing="1"/>
              <w:outlineLvl w:val="0"/>
              <w:rPr>
                <w:rFonts w:ascii="Times New Roman" w:eastAsia="Times New Roman" w:hAnsi="Times New Roman" w:cs="Times New Roman"/>
                <w:sz w:val="24"/>
                <w:szCs w:val="24"/>
              </w:rPr>
            </w:pPr>
            <w:r w:rsidRPr="008A6DC6">
              <w:rPr>
                <w:rFonts w:ascii="Times New Roman" w:eastAsia="Times New Roman" w:hAnsi="Times New Roman" w:cs="Times New Roman"/>
                <w:sz w:val="24"/>
                <w:szCs w:val="24"/>
              </w:rPr>
              <w:t>3.5 Reporting and Whistleblowing</w:t>
            </w:r>
          </w:p>
        </w:tc>
        <w:tc>
          <w:tcPr>
            <w:tcW w:w="4261" w:type="dxa"/>
          </w:tcPr>
          <w:p w:rsidR="008A6DC6" w:rsidRDefault="008A6DC6" w:rsidP="008823AD">
            <w:pPr>
              <w:spacing w:before="100" w:beforeAutospacing="1" w:after="100" w:afterAutospacing="1"/>
              <w:outlineLvl w:val="0"/>
              <w:rPr>
                <w:rFonts w:ascii="Times New Roman" w:eastAsia="Times New Roman" w:hAnsi="Times New Roman" w:cs="Times New Roman"/>
              </w:rPr>
            </w:pPr>
            <w:r>
              <w:rPr>
                <w:rFonts w:ascii="Times New Roman" w:eastAsia="Times New Roman" w:hAnsi="Times New Roman" w:cs="Times New Roman"/>
              </w:rPr>
              <w:t>2</w:t>
            </w:r>
          </w:p>
        </w:tc>
      </w:tr>
      <w:tr w:rsidR="008A6DC6" w:rsidTr="008823AD">
        <w:tc>
          <w:tcPr>
            <w:tcW w:w="4261" w:type="dxa"/>
          </w:tcPr>
          <w:p w:rsidR="008A6DC6" w:rsidRPr="008A6DC6" w:rsidRDefault="008A6DC6" w:rsidP="008A6DC6">
            <w:pPr>
              <w:spacing w:before="100" w:beforeAutospacing="1" w:after="100" w:afterAutospacing="1"/>
              <w:outlineLvl w:val="0"/>
              <w:rPr>
                <w:rFonts w:ascii="Times New Roman" w:eastAsia="Times New Roman" w:hAnsi="Times New Roman" w:cs="Times New Roman"/>
                <w:sz w:val="24"/>
                <w:szCs w:val="24"/>
              </w:rPr>
            </w:pPr>
            <w:r w:rsidRPr="008A6DC6">
              <w:rPr>
                <w:rFonts w:ascii="Times New Roman" w:eastAsia="Times New Roman" w:hAnsi="Times New Roman" w:cs="Times New Roman"/>
                <w:sz w:val="24"/>
                <w:szCs w:val="24"/>
              </w:rPr>
              <w:t>3.6 Due Diligence</w:t>
            </w:r>
          </w:p>
        </w:tc>
        <w:tc>
          <w:tcPr>
            <w:tcW w:w="4261" w:type="dxa"/>
          </w:tcPr>
          <w:p w:rsidR="008A6DC6" w:rsidRDefault="008A6DC6" w:rsidP="008823AD">
            <w:pPr>
              <w:spacing w:before="100" w:beforeAutospacing="1" w:after="100" w:afterAutospacing="1"/>
              <w:outlineLvl w:val="0"/>
              <w:rPr>
                <w:rFonts w:ascii="Times New Roman" w:eastAsia="Times New Roman" w:hAnsi="Times New Roman" w:cs="Times New Roman"/>
              </w:rPr>
            </w:pPr>
            <w:r>
              <w:rPr>
                <w:rFonts w:ascii="Times New Roman" w:eastAsia="Times New Roman" w:hAnsi="Times New Roman" w:cs="Times New Roman"/>
              </w:rPr>
              <w:t>2</w:t>
            </w:r>
          </w:p>
        </w:tc>
      </w:tr>
      <w:tr w:rsidR="008A6DC6" w:rsidTr="008823AD">
        <w:tc>
          <w:tcPr>
            <w:tcW w:w="4261" w:type="dxa"/>
          </w:tcPr>
          <w:p w:rsidR="008A6DC6" w:rsidRPr="008A6DC6" w:rsidRDefault="008A6DC6" w:rsidP="008A6DC6">
            <w:pPr>
              <w:spacing w:before="100" w:beforeAutospacing="1" w:after="100" w:afterAutospacing="1"/>
              <w:outlineLvl w:val="0"/>
              <w:rPr>
                <w:rFonts w:ascii="Times New Roman" w:eastAsia="Times New Roman" w:hAnsi="Times New Roman" w:cs="Times New Roman"/>
                <w:sz w:val="24"/>
                <w:szCs w:val="24"/>
              </w:rPr>
            </w:pPr>
            <w:r w:rsidRPr="008A6DC6">
              <w:rPr>
                <w:rFonts w:ascii="Times New Roman" w:eastAsia="Times New Roman" w:hAnsi="Times New Roman" w:cs="Times New Roman"/>
                <w:sz w:val="24"/>
                <w:szCs w:val="24"/>
              </w:rPr>
              <w:t>3.7 Record Keeping</w:t>
            </w:r>
          </w:p>
        </w:tc>
        <w:tc>
          <w:tcPr>
            <w:tcW w:w="4261" w:type="dxa"/>
          </w:tcPr>
          <w:p w:rsidR="008A6DC6" w:rsidRDefault="008A6DC6" w:rsidP="008823AD">
            <w:pPr>
              <w:spacing w:before="100" w:beforeAutospacing="1" w:after="100" w:afterAutospacing="1"/>
              <w:outlineLvl w:val="0"/>
              <w:rPr>
                <w:rFonts w:ascii="Times New Roman" w:eastAsia="Times New Roman" w:hAnsi="Times New Roman" w:cs="Times New Roman"/>
              </w:rPr>
            </w:pPr>
            <w:r>
              <w:rPr>
                <w:rFonts w:ascii="Times New Roman" w:eastAsia="Times New Roman" w:hAnsi="Times New Roman" w:cs="Times New Roman"/>
              </w:rPr>
              <w:t>2</w:t>
            </w:r>
          </w:p>
        </w:tc>
      </w:tr>
      <w:tr w:rsidR="008A6DC6" w:rsidTr="008823AD">
        <w:tc>
          <w:tcPr>
            <w:tcW w:w="4261" w:type="dxa"/>
          </w:tcPr>
          <w:p w:rsidR="008A6DC6" w:rsidRPr="008A6DC6" w:rsidRDefault="008A6DC6" w:rsidP="008A6DC6">
            <w:pPr>
              <w:spacing w:before="100" w:beforeAutospacing="1" w:after="100" w:afterAutospacing="1"/>
              <w:outlineLvl w:val="0"/>
              <w:rPr>
                <w:rFonts w:ascii="Times New Roman" w:eastAsia="Times New Roman" w:hAnsi="Times New Roman" w:cs="Times New Roman"/>
                <w:sz w:val="24"/>
                <w:szCs w:val="24"/>
              </w:rPr>
            </w:pPr>
            <w:r w:rsidRPr="008A6DC6">
              <w:rPr>
                <w:rFonts w:ascii="Times New Roman" w:eastAsia="Times New Roman" w:hAnsi="Times New Roman" w:cs="Times New Roman"/>
                <w:sz w:val="24"/>
                <w:szCs w:val="24"/>
              </w:rPr>
              <w:t>3.8 Continuous Improvement</w:t>
            </w:r>
          </w:p>
        </w:tc>
        <w:tc>
          <w:tcPr>
            <w:tcW w:w="4261" w:type="dxa"/>
          </w:tcPr>
          <w:p w:rsidR="008A6DC6" w:rsidRDefault="008A6DC6" w:rsidP="008823AD">
            <w:pPr>
              <w:spacing w:before="100" w:beforeAutospacing="1" w:after="100" w:afterAutospacing="1"/>
              <w:outlineLvl w:val="0"/>
              <w:rPr>
                <w:rFonts w:ascii="Times New Roman" w:eastAsia="Times New Roman" w:hAnsi="Times New Roman" w:cs="Times New Roman"/>
              </w:rPr>
            </w:pPr>
            <w:r>
              <w:rPr>
                <w:rFonts w:ascii="Times New Roman" w:eastAsia="Times New Roman" w:hAnsi="Times New Roman" w:cs="Times New Roman"/>
              </w:rPr>
              <w:t>3</w:t>
            </w:r>
          </w:p>
        </w:tc>
      </w:tr>
      <w:tr w:rsidR="008A6DC6" w:rsidTr="008823AD">
        <w:tc>
          <w:tcPr>
            <w:tcW w:w="4261" w:type="dxa"/>
          </w:tcPr>
          <w:p w:rsidR="008A6DC6" w:rsidRPr="00012D7F" w:rsidRDefault="008A6DC6" w:rsidP="008823AD">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4. Review</w:t>
            </w:r>
          </w:p>
        </w:tc>
        <w:tc>
          <w:tcPr>
            <w:tcW w:w="4261" w:type="dxa"/>
          </w:tcPr>
          <w:p w:rsidR="008A6DC6" w:rsidRPr="00D42445" w:rsidRDefault="008A6DC6" w:rsidP="008823AD">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bl>
    <w:p w:rsidR="008A6DC6" w:rsidRDefault="008A6DC6">
      <w:pPr>
        <w:pStyle w:val="1"/>
        <w:sectPr w:rsidR="008A6DC6">
          <w:headerReference w:type="default" r:id="rId9"/>
          <w:pgSz w:w="12240" w:h="15840"/>
          <w:pgMar w:top="1440" w:right="1800" w:bottom="1440" w:left="1800" w:header="720" w:footer="720" w:gutter="0"/>
          <w:cols w:space="720"/>
        </w:sectPr>
      </w:pPr>
    </w:p>
    <w:bookmarkEnd w:id="0"/>
    <w:p w:rsidR="0095486A" w:rsidRDefault="0095486A"/>
    <w:p w:rsidR="0095486A" w:rsidRPr="008A6DC6" w:rsidRDefault="0061498F">
      <w:pPr>
        <w:pStyle w:val="2"/>
        <w:rPr>
          <w:rFonts w:asciiTheme="majorBidi" w:hAnsiTheme="majorBidi"/>
          <w:color w:val="000000" w:themeColor="text1"/>
          <w:sz w:val="32"/>
          <w:szCs w:val="32"/>
        </w:rPr>
      </w:pPr>
      <w:bookmarkStart w:id="2" w:name="policy-statement-aims"/>
      <w:r w:rsidRPr="008A6DC6">
        <w:rPr>
          <w:rFonts w:asciiTheme="majorBidi" w:hAnsiTheme="majorBidi"/>
          <w:color w:val="000000" w:themeColor="text1"/>
          <w:sz w:val="32"/>
          <w:szCs w:val="32"/>
        </w:rPr>
        <w:t>1. Policy Statement / Aims</w:t>
      </w:r>
      <w:bookmarkEnd w:id="2"/>
    </w:p>
    <w:p w:rsidR="0095486A" w:rsidRPr="008A6DC6" w:rsidRDefault="0061498F">
      <w:pPr>
        <w:pStyle w:val="FirstParagraph"/>
        <w:rPr>
          <w:rFonts w:asciiTheme="majorBidi" w:hAnsiTheme="majorBidi" w:cstheme="majorBidi"/>
          <w:color w:val="000000" w:themeColor="text1"/>
        </w:rPr>
      </w:pPr>
      <w:r w:rsidRPr="008A6DC6">
        <w:rPr>
          <w:rFonts w:asciiTheme="majorBidi" w:hAnsiTheme="majorBidi" w:cstheme="majorBidi"/>
          <w:color w:val="000000" w:themeColor="text1"/>
        </w:rPr>
        <w:t>NextGen Digital School of Britain is committed to maintaining the highest standards of integrity, transparency, and accountability in all aspects of its operations. This Anti-Fraud &amp; Anti-Bribery Policy aims to prevent, detect, and respond to any instances of fraud or bribery within the school’s online education environment. The policy supports compliance with the Department for Education’s (DfE) Online Education Accreditation Scheme (OEAS) standards and ensures that all stakeholders—staff, pupils, parents, and regulators—can have confidence in the school’s commitment to ethical conduct and lawful behaviour.</w:t>
      </w:r>
    </w:p>
    <w:p w:rsidR="0095486A" w:rsidRPr="008A6DC6" w:rsidRDefault="0095486A">
      <w:pPr>
        <w:rPr>
          <w:rFonts w:asciiTheme="majorBidi" w:hAnsiTheme="majorBidi" w:cstheme="majorBidi"/>
          <w:color w:val="000000" w:themeColor="text1"/>
        </w:rPr>
      </w:pPr>
    </w:p>
    <w:p w:rsidR="0095486A" w:rsidRPr="008A6DC6" w:rsidRDefault="0061498F">
      <w:pPr>
        <w:pStyle w:val="2"/>
        <w:rPr>
          <w:rFonts w:asciiTheme="majorBidi" w:hAnsiTheme="majorBidi"/>
          <w:color w:val="000000" w:themeColor="text1"/>
          <w:sz w:val="32"/>
          <w:szCs w:val="32"/>
        </w:rPr>
      </w:pPr>
      <w:bookmarkStart w:id="3" w:name="scope"/>
      <w:r w:rsidRPr="008A6DC6">
        <w:rPr>
          <w:rFonts w:asciiTheme="majorBidi" w:hAnsiTheme="majorBidi"/>
          <w:color w:val="000000" w:themeColor="text1"/>
          <w:sz w:val="32"/>
          <w:szCs w:val="32"/>
        </w:rPr>
        <w:t>2. Scope</w:t>
      </w:r>
      <w:bookmarkEnd w:id="3"/>
    </w:p>
    <w:p w:rsidR="0095486A" w:rsidRPr="008A6DC6" w:rsidRDefault="0061498F">
      <w:pPr>
        <w:pStyle w:val="FirstParagraph"/>
        <w:rPr>
          <w:rFonts w:asciiTheme="majorBidi" w:hAnsiTheme="majorBidi" w:cstheme="majorBidi"/>
          <w:color w:val="000000" w:themeColor="text1"/>
        </w:rPr>
      </w:pPr>
      <w:r w:rsidRPr="008A6DC6">
        <w:rPr>
          <w:rFonts w:asciiTheme="majorBidi" w:hAnsiTheme="majorBidi" w:cstheme="majorBidi"/>
          <w:color w:val="000000" w:themeColor="text1"/>
        </w:rPr>
        <w:t>This policy applies to:</w:t>
      </w:r>
      <w:r w:rsidRPr="008A6DC6">
        <w:rPr>
          <w:rFonts w:asciiTheme="majorBidi" w:hAnsiTheme="majorBidi" w:cstheme="majorBidi"/>
          <w:color w:val="000000" w:themeColor="text1"/>
        </w:rPr>
        <w:br/>
        <w:t>- All employees, contractors, consultants, and temporary staff engaged by NextGen Digital School of Britain.</w:t>
      </w:r>
      <w:r w:rsidRPr="008A6DC6">
        <w:rPr>
          <w:rFonts w:asciiTheme="majorBidi" w:hAnsiTheme="majorBidi" w:cstheme="majorBidi"/>
          <w:color w:val="000000" w:themeColor="text1"/>
        </w:rPr>
        <w:br/>
        <w:t>- All pupils enrolled in the school’s full-time online education programmes.</w:t>
      </w:r>
      <w:r w:rsidRPr="008A6DC6">
        <w:rPr>
          <w:rFonts w:asciiTheme="majorBidi" w:hAnsiTheme="majorBidi" w:cstheme="majorBidi"/>
          <w:color w:val="000000" w:themeColor="text1"/>
        </w:rPr>
        <w:br/>
        <w:t>- Parents, guardians, and carers of pupils.</w:t>
      </w:r>
      <w:r w:rsidRPr="008A6DC6">
        <w:rPr>
          <w:rFonts w:asciiTheme="majorBidi" w:hAnsiTheme="majorBidi" w:cstheme="majorBidi"/>
          <w:color w:val="000000" w:themeColor="text1"/>
        </w:rPr>
        <w:br/>
        <w:t>- Any third parties involved in the school’s online education delivery, including suppliers and partners.</w:t>
      </w:r>
    </w:p>
    <w:p w:rsidR="0095486A" w:rsidRPr="008A6DC6" w:rsidRDefault="0061498F">
      <w:pPr>
        <w:pStyle w:val="a0"/>
        <w:rPr>
          <w:rFonts w:asciiTheme="majorBidi" w:hAnsiTheme="majorBidi" w:cstheme="majorBidi"/>
          <w:color w:val="000000" w:themeColor="text1"/>
        </w:rPr>
      </w:pPr>
      <w:r w:rsidRPr="008A6DC6">
        <w:rPr>
          <w:rFonts w:asciiTheme="majorBidi" w:hAnsiTheme="majorBidi" w:cstheme="majorBidi"/>
          <w:color w:val="000000" w:themeColor="text1"/>
        </w:rPr>
        <w:t>The policy covers all activities related to the school’s online education provision, including but not limited to digital platforms, remote learning environments, online communications, financial transactions, procurement, and data management.</w:t>
      </w:r>
    </w:p>
    <w:p w:rsidR="0095486A" w:rsidRPr="008A6DC6" w:rsidRDefault="0095486A">
      <w:pPr>
        <w:rPr>
          <w:rFonts w:asciiTheme="majorBidi" w:hAnsiTheme="majorBidi" w:cstheme="majorBidi"/>
          <w:color w:val="000000" w:themeColor="text1"/>
        </w:rPr>
      </w:pPr>
    </w:p>
    <w:p w:rsidR="0095486A" w:rsidRPr="008A6DC6" w:rsidRDefault="0061498F">
      <w:pPr>
        <w:pStyle w:val="2"/>
        <w:rPr>
          <w:rFonts w:asciiTheme="majorBidi" w:hAnsiTheme="majorBidi"/>
          <w:color w:val="000000" w:themeColor="text1"/>
          <w:sz w:val="32"/>
          <w:szCs w:val="32"/>
        </w:rPr>
      </w:pPr>
      <w:bookmarkStart w:id="4" w:name="procedures-key-principles"/>
      <w:r w:rsidRPr="008A6DC6">
        <w:rPr>
          <w:rFonts w:asciiTheme="majorBidi" w:hAnsiTheme="majorBidi"/>
          <w:color w:val="000000" w:themeColor="text1"/>
          <w:sz w:val="32"/>
          <w:szCs w:val="32"/>
        </w:rPr>
        <w:t>3. Procedures / Key Principles</w:t>
      </w:r>
      <w:bookmarkEnd w:id="4"/>
    </w:p>
    <w:p w:rsidR="0095486A" w:rsidRPr="008A6DC6" w:rsidRDefault="0061498F">
      <w:pPr>
        <w:pStyle w:val="3"/>
        <w:rPr>
          <w:rFonts w:asciiTheme="majorBidi" w:hAnsiTheme="majorBidi"/>
          <w:color w:val="000000" w:themeColor="text1"/>
          <w:sz w:val="28"/>
          <w:szCs w:val="28"/>
        </w:rPr>
      </w:pPr>
      <w:bookmarkStart w:id="5" w:name="commitment-to-prevention"/>
      <w:r w:rsidRPr="008A6DC6">
        <w:rPr>
          <w:rFonts w:asciiTheme="majorBidi" w:hAnsiTheme="majorBidi"/>
          <w:color w:val="000000" w:themeColor="text1"/>
          <w:sz w:val="28"/>
          <w:szCs w:val="28"/>
        </w:rPr>
        <w:t>3.1 Commitment to Prevention</w:t>
      </w:r>
      <w:bookmarkEnd w:id="5"/>
    </w:p>
    <w:p w:rsidR="0095486A" w:rsidRPr="008A6DC6" w:rsidRDefault="0061498F">
      <w:pPr>
        <w:pStyle w:val="FirstParagraph"/>
        <w:rPr>
          <w:rFonts w:asciiTheme="majorBidi" w:hAnsiTheme="majorBidi" w:cstheme="majorBidi"/>
          <w:color w:val="000000" w:themeColor="text1"/>
        </w:rPr>
      </w:pPr>
      <w:r w:rsidRPr="008A6DC6">
        <w:rPr>
          <w:rFonts w:asciiTheme="majorBidi" w:hAnsiTheme="majorBidi" w:cstheme="majorBidi"/>
          <w:color w:val="000000" w:themeColor="text1"/>
        </w:rPr>
        <w:t>NextGen Digital School of Britain adopts a zero-tolerance approach to fraud and bribery. The school is committed to:</w:t>
      </w:r>
      <w:r w:rsidRPr="008A6DC6">
        <w:rPr>
          <w:rFonts w:asciiTheme="majorBidi" w:hAnsiTheme="majorBidi" w:cstheme="majorBidi"/>
          <w:color w:val="000000" w:themeColor="text1"/>
        </w:rPr>
        <w:br/>
        <w:t>- Promoting a culture of honesty, openness, and accountability.</w:t>
      </w:r>
      <w:r w:rsidRPr="008A6DC6">
        <w:rPr>
          <w:rFonts w:asciiTheme="majorBidi" w:hAnsiTheme="majorBidi" w:cstheme="majorBidi"/>
          <w:color w:val="000000" w:themeColor="text1"/>
        </w:rPr>
        <w:br/>
        <w:t>- Ensuring all staff and stakeholders understand their responsibilities in preventing fraud and bribery.</w:t>
      </w:r>
      <w:r w:rsidRPr="008A6DC6">
        <w:rPr>
          <w:rFonts w:asciiTheme="majorBidi" w:hAnsiTheme="majorBidi" w:cstheme="majorBidi"/>
          <w:color w:val="000000" w:themeColor="text1"/>
        </w:rPr>
        <w:br/>
        <w:t>- Implementing robust internal controls and monitoring systems tailored to the online education environment.</w:t>
      </w:r>
    </w:p>
    <w:p w:rsidR="0095486A" w:rsidRPr="008A6DC6" w:rsidRDefault="0061498F">
      <w:pPr>
        <w:pStyle w:val="3"/>
        <w:rPr>
          <w:rFonts w:asciiTheme="majorBidi" w:hAnsiTheme="majorBidi"/>
          <w:color w:val="000000" w:themeColor="text1"/>
          <w:sz w:val="28"/>
          <w:szCs w:val="28"/>
        </w:rPr>
      </w:pPr>
      <w:bookmarkStart w:id="6" w:name="definitions"/>
      <w:r w:rsidRPr="008A6DC6">
        <w:rPr>
          <w:rFonts w:asciiTheme="majorBidi" w:hAnsiTheme="majorBidi"/>
          <w:color w:val="000000" w:themeColor="text1"/>
          <w:sz w:val="28"/>
          <w:szCs w:val="28"/>
        </w:rPr>
        <w:t>3.2 Definitions</w:t>
      </w:r>
      <w:bookmarkEnd w:id="6"/>
    </w:p>
    <w:p w:rsidR="0095486A" w:rsidRPr="008A6DC6" w:rsidRDefault="0061498F">
      <w:pPr>
        <w:pStyle w:val="Compact"/>
        <w:numPr>
          <w:ilvl w:val="0"/>
          <w:numId w:val="2"/>
        </w:numPr>
        <w:rPr>
          <w:rFonts w:asciiTheme="majorBidi" w:hAnsiTheme="majorBidi" w:cstheme="majorBidi"/>
          <w:color w:val="000000" w:themeColor="text1"/>
        </w:rPr>
      </w:pPr>
      <w:r w:rsidRPr="008A6DC6">
        <w:rPr>
          <w:rFonts w:asciiTheme="majorBidi" w:hAnsiTheme="majorBidi" w:cstheme="majorBidi"/>
          <w:b/>
          <w:color w:val="000000" w:themeColor="text1"/>
        </w:rPr>
        <w:t>Fraud</w:t>
      </w:r>
      <w:r w:rsidRPr="008A6DC6">
        <w:rPr>
          <w:rFonts w:asciiTheme="majorBidi" w:hAnsiTheme="majorBidi" w:cstheme="majorBidi"/>
          <w:color w:val="000000" w:themeColor="text1"/>
        </w:rPr>
        <w:t xml:space="preserve">: Any intentional act or omission designed to deceive others, resulting in the victim suffering a loss and/or the perpetrator achieving a gain. Examples include </w:t>
      </w:r>
      <w:r w:rsidRPr="008A6DC6">
        <w:rPr>
          <w:rFonts w:asciiTheme="majorBidi" w:hAnsiTheme="majorBidi" w:cstheme="majorBidi"/>
          <w:color w:val="000000" w:themeColor="text1"/>
        </w:rPr>
        <w:lastRenderedPageBreak/>
        <w:t>falsification of records, misappropriation of funds, or manipulation of online attendance and assessment data.</w:t>
      </w:r>
      <w:r w:rsidRPr="008A6DC6">
        <w:rPr>
          <w:rFonts w:asciiTheme="majorBidi" w:hAnsiTheme="majorBidi" w:cstheme="majorBidi"/>
          <w:color w:val="000000" w:themeColor="text1"/>
        </w:rPr>
        <w:br/>
      </w:r>
    </w:p>
    <w:p w:rsidR="0095486A" w:rsidRPr="008A6DC6" w:rsidRDefault="0061498F">
      <w:pPr>
        <w:pStyle w:val="Compact"/>
        <w:numPr>
          <w:ilvl w:val="0"/>
          <w:numId w:val="2"/>
        </w:numPr>
        <w:rPr>
          <w:rFonts w:asciiTheme="majorBidi" w:hAnsiTheme="majorBidi" w:cstheme="majorBidi"/>
          <w:color w:val="000000" w:themeColor="text1"/>
        </w:rPr>
      </w:pPr>
      <w:r w:rsidRPr="008A6DC6">
        <w:rPr>
          <w:rFonts w:asciiTheme="majorBidi" w:hAnsiTheme="majorBidi" w:cstheme="majorBidi"/>
          <w:b/>
          <w:color w:val="000000" w:themeColor="text1"/>
        </w:rPr>
        <w:t>Bribery</w:t>
      </w:r>
      <w:r w:rsidRPr="008A6DC6">
        <w:rPr>
          <w:rFonts w:asciiTheme="majorBidi" w:hAnsiTheme="majorBidi" w:cstheme="majorBidi"/>
          <w:color w:val="000000" w:themeColor="text1"/>
        </w:rPr>
        <w:t>: Offering, giving, receiving, or soliciting anything of value to influence the actions of an individual in a position of trust, including inducements related to contracts, admissions, or academic outcomes.</w:t>
      </w:r>
    </w:p>
    <w:p w:rsidR="0095486A" w:rsidRPr="008A6DC6" w:rsidRDefault="0061498F">
      <w:pPr>
        <w:pStyle w:val="3"/>
        <w:rPr>
          <w:rFonts w:asciiTheme="majorBidi" w:hAnsiTheme="majorBidi"/>
          <w:color w:val="000000" w:themeColor="text1"/>
          <w:sz w:val="28"/>
          <w:szCs w:val="28"/>
        </w:rPr>
      </w:pPr>
      <w:bookmarkStart w:id="7" w:name="risk-assessment-and-controls"/>
      <w:r w:rsidRPr="008A6DC6">
        <w:rPr>
          <w:rFonts w:asciiTheme="majorBidi" w:hAnsiTheme="majorBidi"/>
          <w:color w:val="000000" w:themeColor="text1"/>
          <w:sz w:val="28"/>
          <w:szCs w:val="28"/>
        </w:rPr>
        <w:t>3.3 Risk Assessment and Controls</w:t>
      </w:r>
      <w:bookmarkEnd w:id="7"/>
    </w:p>
    <w:p w:rsidR="0095486A" w:rsidRPr="008A6DC6" w:rsidRDefault="0061498F">
      <w:pPr>
        <w:pStyle w:val="Compact"/>
        <w:numPr>
          <w:ilvl w:val="0"/>
          <w:numId w:val="3"/>
        </w:numPr>
        <w:rPr>
          <w:rFonts w:asciiTheme="majorBidi" w:hAnsiTheme="majorBidi" w:cstheme="majorBidi"/>
          <w:color w:val="000000" w:themeColor="text1"/>
        </w:rPr>
      </w:pPr>
      <w:r w:rsidRPr="008A6DC6">
        <w:rPr>
          <w:rFonts w:asciiTheme="majorBidi" w:hAnsiTheme="majorBidi" w:cstheme="majorBidi"/>
          <w:color w:val="000000" w:themeColor="text1"/>
        </w:rPr>
        <w:t>The school conducts regular risk assessments focusing on areas vulnerable to fraud and bribery, including online admissions, procurement of digital resources, and financial transactions conducted electronically.</w:t>
      </w:r>
      <w:r w:rsidRPr="008A6DC6">
        <w:rPr>
          <w:rFonts w:asciiTheme="majorBidi" w:hAnsiTheme="majorBidi" w:cstheme="majorBidi"/>
          <w:color w:val="000000" w:themeColor="text1"/>
        </w:rPr>
        <w:br/>
      </w:r>
    </w:p>
    <w:p w:rsidR="0095486A" w:rsidRPr="008A6DC6" w:rsidRDefault="0061498F">
      <w:pPr>
        <w:pStyle w:val="Compact"/>
        <w:numPr>
          <w:ilvl w:val="0"/>
          <w:numId w:val="3"/>
        </w:numPr>
        <w:rPr>
          <w:rFonts w:asciiTheme="majorBidi" w:hAnsiTheme="majorBidi" w:cstheme="majorBidi"/>
          <w:color w:val="000000" w:themeColor="text1"/>
        </w:rPr>
      </w:pPr>
      <w:r w:rsidRPr="008A6DC6">
        <w:rPr>
          <w:rFonts w:asciiTheme="majorBidi" w:hAnsiTheme="majorBidi" w:cstheme="majorBidi"/>
          <w:color w:val="000000" w:themeColor="text1"/>
        </w:rPr>
        <w:t>Access to financial systems and sensitive data is restricted and monitored through secure authentication protocols.</w:t>
      </w:r>
      <w:r w:rsidRPr="008A6DC6">
        <w:rPr>
          <w:rFonts w:asciiTheme="majorBidi" w:hAnsiTheme="majorBidi" w:cstheme="majorBidi"/>
          <w:color w:val="000000" w:themeColor="text1"/>
        </w:rPr>
        <w:br/>
      </w:r>
    </w:p>
    <w:p w:rsidR="0095486A" w:rsidRPr="008A6DC6" w:rsidRDefault="0061498F">
      <w:pPr>
        <w:pStyle w:val="Compact"/>
        <w:numPr>
          <w:ilvl w:val="0"/>
          <w:numId w:val="3"/>
        </w:numPr>
        <w:rPr>
          <w:rFonts w:asciiTheme="majorBidi" w:hAnsiTheme="majorBidi" w:cstheme="majorBidi"/>
          <w:color w:val="000000" w:themeColor="text1"/>
        </w:rPr>
      </w:pPr>
      <w:r w:rsidRPr="008A6DC6">
        <w:rPr>
          <w:rFonts w:asciiTheme="majorBidi" w:hAnsiTheme="majorBidi" w:cstheme="majorBidi"/>
          <w:color w:val="000000" w:themeColor="text1"/>
        </w:rPr>
        <w:t>Online platforms used for teaching, assessment, and communication are subject to audit trails to detect irregularities.</w:t>
      </w:r>
    </w:p>
    <w:p w:rsidR="0095486A" w:rsidRPr="008A6DC6" w:rsidRDefault="0061498F">
      <w:pPr>
        <w:pStyle w:val="3"/>
        <w:rPr>
          <w:rFonts w:asciiTheme="majorBidi" w:hAnsiTheme="majorBidi"/>
          <w:color w:val="000000" w:themeColor="text1"/>
          <w:sz w:val="28"/>
          <w:szCs w:val="28"/>
        </w:rPr>
      </w:pPr>
      <w:bookmarkStart w:id="8" w:name="staff-training-and-awareness"/>
      <w:r w:rsidRPr="008A6DC6">
        <w:rPr>
          <w:rFonts w:asciiTheme="majorBidi" w:hAnsiTheme="majorBidi"/>
          <w:color w:val="000000" w:themeColor="text1"/>
          <w:sz w:val="28"/>
          <w:szCs w:val="28"/>
        </w:rPr>
        <w:t>3.4 Staff Training and Awareness</w:t>
      </w:r>
      <w:bookmarkEnd w:id="8"/>
    </w:p>
    <w:p w:rsidR="0095486A" w:rsidRPr="008A6DC6" w:rsidRDefault="0061498F">
      <w:pPr>
        <w:pStyle w:val="Compact"/>
        <w:numPr>
          <w:ilvl w:val="0"/>
          <w:numId w:val="4"/>
        </w:numPr>
        <w:rPr>
          <w:rFonts w:asciiTheme="majorBidi" w:hAnsiTheme="majorBidi" w:cstheme="majorBidi"/>
          <w:color w:val="000000" w:themeColor="text1"/>
        </w:rPr>
      </w:pPr>
      <w:r w:rsidRPr="008A6DC6">
        <w:rPr>
          <w:rFonts w:asciiTheme="majorBidi" w:hAnsiTheme="majorBidi" w:cstheme="majorBidi"/>
          <w:color w:val="000000" w:themeColor="text1"/>
        </w:rPr>
        <w:t>All staff receive mandatory training on fraud and bribery risks specific to the online education context, including recognising suspicious activities and understanding reporting procedures.</w:t>
      </w:r>
      <w:r w:rsidRPr="008A6DC6">
        <w:rPr>
          <w:rFonts w:asciiTheme="majorBidi" w:hAnsiTheme="majorBidi" w:cstheme="majorBidi"/>
          <w:color w:val="000000" w:themeColor="text1"/>
        </w:rPr>
        <w:br/>
      </w:r>
    </w:p>
    <w:p w:rsidR="0095486A" w:rsidRPr="008A6DC6" w:rsidRDefault="0061498F">
      <w:pPr>
        <w:pStyle w:val="Compact"/>
        <w:numPr>
          <w:ilvl w:val="0"/>
          <w:numId w:val="4"/>
        </w:numPr>
        <w:rPr>
          <w:rFonts w:asciiTheme="majorBidi" w:hAnsiTheme="majorBidi" w:cstheme="majorBidi"/>
          <w:color w:val="000000" w:themeColor="text1"/>
        </w:rPr>
      </w:pPr>
      <w:r w:rsidRPr="008A6DC6">
        <w:rPr>
          <w:rFonts w:asciiTheme="majorBidi" w:hAnsiTheme="majorBidi" w:cstheme="majorBidi"/>
          <w:color w:val="000000" w:themeColor="text1"/>
        </w:rPr>
        <w:t>Guidance is provided on ethical conduct in digital communications and transactions.</w:t>
      </w:r>
    </w:p>
    <w:p w:rsidR="0095486A" w:rsidRPr="008A6DC6" w:rsidRDefault="0061498F">
      <w:pPr>
        <w:pStyle w:val="3"/>
        <w:rPr>
          <w:rFonts w:asciiTheme="majorBidi" w:hAnsiTheme="majorBidi"/>
          <w:color w:val="000000" w:themeColor="text1"/>
          <w:sz w:val="28"/>
          <w:szCs w:val="28"/>
        </w:rPr>
      </w:pPr>
      <w:bookmarkStart w:id="9" w:name="reporting-and-whistleblowing"/>
      <w:r w:rsidRPr="008A6DC6">
        <w:rPr>
          <w:rFonts w:asciiTheme="majorBidi" w:hAnsiTheme="majorBidi"/>
          <w:color w:val="000000" w:themeColor="text1"/>
          <w:sz w:val="28"/>
          <w:szCs w:val="28"/>
        </w:rPr>
        <w:t>3.5 Reporting and Whistleblowing</w:t>
      </w:r>
      <w:bookmarkEnd w:id="9"/>
    </w:p>
    <w:p w:rsidR="0095486A" w:rsidRPr="008A6DC6" w:rsidRDefault="0061498F">
      <w:pPr>
        <w:pStyle w:val="Compact"/>
        <w:numPr>
          <w:ilvl w:val="0"/>
          <w:numId w:val="5"/>
        </w:numPr>
        <w:rPr>
          <w:rFonts w:asciiTheme="majorBidi" w:hAnsiTheme="majorBidi" w:cstheme="majorBidi"/>
          <w:color w:val="000000" w:themeColor="text1"/>
        </w:rPr>
      </w:pPr>
      <w:r w:rsidRPr="008A6DC6">
        <w:rPr>
          <w:rFonts w:asciiTheme="majorBidi" w:hAnsiTheme="majorBidi" w:cstheme="majorBidi"/>
          <w:color w:val="000000" w:themeColor="text1"/>
        </w:rPr>
        <w:t>The school encourages prompt reporting of any suspected fraud or bribery through confidential channels, including a designated online reporting system and a named Compliance Officer.</w:t>
      </w:r>
      <w:r w:rsidRPr="008A6DC6">
        <w:rPr>
          <w:rFonts w:asciiTheme="majorBidi" w:hAnsiTheme="majorBidi" w:cstheme="majorBidi"/>
          <w:color w:val="000000" w:themeColor="text1"/>
        </w:rPr>
        <w:br/>
      </w:r>
    </w:p>
    <w:p w:rsidR="0095486A" w:rsidRPr="008A6DC6" w:rsidRDefault="0061498F">
      <w:pPr>
        <w:pStyle w:val="Compact"/>
        <w:numPr>
          <w:ilvl w:val="0"/>
          <w:numId w:val="5"/>
        </w:numPr>
        <w:rPr>
          <w:rFonts w:asciiTheme="majorBidi" w:hAnsiTheme="majorBidi" w:cstheme="majorBidi"/>
          <w:color w:val="000000" w:themeColor="text1"/>
        </w:rPr>
      </w:pPr>
      <w:r w:rsidRPr="008A6DC6">
        <w:rPr>
          <w:rFonts w:asciiTheme="majorBidi" w:hAnsiTheme="majorBidi" w:cstheme="majorBidi"/>
          <w:color w:val="000000" w:themeColor="text1"/>
        </w:rPr>
        <w:t>Protection against retaliation is guaranteed for whistleblowers acting in good faith.</w:t>
      </w:r>
      <w:r w:rsidRPr="008A6DC6">
        <w:rPr>
          <w:rFonts w:asciiTheme="majorBidi" w:hAnsiTheme="majorBidi" w:cstheme="majorBidi"/>
          <w:color w:val="000000" w:themeColor="text1"/>
        </w:rPr>
        <w:br/>
      </w:r>
    </w:p>
    <w:p w:rsidR="0095486A" w:rsidRPr="008A6DC6" w:rsidRDefault="0061498F">
      <w:pPr>
        <w:pStyle w:val="Compact"/>
        <w:numPr>
          <w:ilvl w:val="0"/>
          <w:numId w:val="5"/>
        </w:numPr>
        <w:rPr>
          <w:rFonts w:asciiTheme="majorBidi" w:hAnsiTheme="majorBidi" w:cstheme="majorBidi"/>
          <w:color w:val="000000" w:themeColor="text1"/>
        </w:rPr>
      </w:pPr>
      <w:r w:rsidRPr="008A6DC6">
        <w:rPr>
          <w:rFonts w:asciiTheme="majorBidi" w:hAnsiTheme="majorBidi" w:cstheme="majorBidi"/>
          <w:color w:val="000000" w:themeColor="text1"/>
        </w:rPr>
        <w:t>Reports are investigated thoroughly, impartially, and in a timely manner, with findings reported to senior leadership and, where appropriate, external authorities.</w:t>
      </w:r>
    </w:p>
    <w:p w:rsidR="0095486A" w:rsidRPr="008A6DC6" w:rsidRDefault="0061498F">
      <w:pPr>
        <w:pStyle w:val="3"/>
        <w:rPr>
          <w:rFonts w:asciiTheme="majorBidi" w:hAnsiTheme="majorBidi"/>
          <w:color w:val="000000" w:themeColor="text1"/>
          <w:sz w:val="28"/>
          <w:szCs w:val="28"/>
        </w:rPr>
      </w:pPr>
      <w:bookmarkStart w:id="10" w:name="due-diligence"/>
      <w:r w:rsidRPr="008A6DC6">
        <w:rPr>
          <w:rFonts w:asciiTheme="majorBidi" w:hAnsiTheme="majorBidi"/>
          <w:color w:val="000000" w:themeColor="text1"/>
          <w:sz w:val="28"/>
          <w:szCs w:val="28"/>
        </w:rPr>
        <w:t>3.6 Due Diligence</w:t>
      </w:r>
      <w:bookmarkEnd w:id="10"/>
    </w:p>
    <w:p w:rsidR="0095486A" w:rsidRPr="008A6DC6" w:rsidRDefault="0061498F">
      <w:pPr>
        <w:pStyle w:val="Compact"/>
        <w:numPr>
          <w:ilvl w:val="0"/>
          <w:numId w:val="6"/>
        </w:numPr>
        <w:rPr>
          <w:rFonts w:asciiTheme="majorBidi" w:hAnsiTheme="majorBidi" w:cstheme="majorBidi"/>
          <w:color w:val="000000" w:themeColor="text1"/>
        </w:rPr>
      </w:pPr>
      <w:r w:rsidRPr="008A6DC6">
        <w:rPr>
          <w:rFonts w:asciiTheme="majorBidi" w:hAnsiTheme="majorBidi" w:cstheme="majorBidi"/>
          <w:color w:val="000000" w:themeColor="text1"/>
        </w:rPr>
        <w:t>The school undertakes due diligence checks on all third-party providers and partners involved in the delivery of online education to ensure compliance with anti-fraud and anti-bribery standards.</w:t>
      </w:r>
      <w:r w:rsidRPr="008A6DC6">
        <w:rPr>
          <w:rFonts w:asciiTheme="majorBidi" w:hAnsiTheme="majorBidi" w:cstheme="majorBidi"/>
          <w:color w:val="000000" w:themeColor="text1"/>
        </w:rPr>
        <w:br/>
      </w:r>
    </w:p>
    <w:p w:rsidR="0095486A" w:rsidRPr="008A6DC6" w:rsidRDefault="0061498F">
      <w:pPr>
        <w:pStyle w:val="Compact"/>
        <w:numPr>
          <w:ilvl w:val="0"/>
          <w:numId w:val="6"/>
        </w:numPr>
        <w:rPr>
          <w:rFonts w:asciiTheme="majorBidi" w:hAnsiTheme="majorBidi" w:cstheme="majorBidi"/>
          <w:color w:val="000000" w:themeColor="text1"/>
        </w:rPr>
      </w:pPr>
      <w:r w:rsidRPr="008A6DC6">
        <w:rPr>
          <w:rFonts w:asciiTheme="majorBidi" w:hAnsiTheme="majorBidi" w:cstheme="majorBidi"/>
          <w:color w:val="000000" w:themeColor="text1"/>
        </w:rPr>
        <w:t>Contracts include clauses requiring adherence to this policy and the right to audit compliance.</w:t>
      </w:r>
    </w:p>
    <w:p w:rsidR="0095486A" w:rsidRPr="008A6DC6" w:rsidRDefault="0061498F">
      <w:pPr>
        <w:pStyle w:val="3"/>
        <w:rPr>
          <w:rFonts w:asciiTheme="majorBidi" w:hAnsiTheme="majorBidi"/>
          <w:color w:val="000000" w:themeColor="text1"/>
          <w:sz w:val="28"/>
          <w:szCs w:val="28"/>
        </w:rPr>
      </w:pPr>
      <w:bookmarkStart w:id="11" w:name="record-keeping"/>
      <w:r w:rsidRPr="008A6DC6">
        <w:rPr>
          <w:rFonts w:asciiTheme="majorBidi" w:hAnsiTheme="majorBidi"/>
          <w:color w:val="000000" w:themeColor="text1"/>
          <w:sz w:val="28"/>
          <w:szCs w:val="28"/>
        </w:rPr>
        <w:lastRenderedPageBreak/>
        <w:t>3.7 Record Keeping</w:t>
      </w:r>
      <w:bookmarkEnd w:id="11"/>
    </w:p>
    <w:p w:rsidR="0095486A" w:rsidRPr="008A6DC6" w:rsidRDefault="0061498F">
      <w:pPr>
        <w:pStyle w:val="Compact"/>
        <w:numPr>
          <w:ilvl w:val="0"/>
          <w:numId w:val="7"/>
        </w:numPr>
        <w:rPr>
          <w:rFonts w:asciiTheme="majorBidi" w:hAnsiTheme="majorBidi" w:cstheme="majorBidi"/>
          <w:color w:val="000000" w:themeColor="text1"/>
        </w:rPr>
      </w:pPr>
      <w:r w:rsidRPr="008A6DC6">
        <w:rPr>
          <w:rFonts w:asciiTheme="majorBidi" w:hAnsiTheme="majorBidi" w:cstheme="majorBidi"/>
          <w:color w:val="000000" w:themeColor="text1"/>
        </w:rPr>
        <w:t>Accurate and secure records of all financial transactions, procurement activities, and communications relevant to fraud and bribery prevention are maintained in compliance with data protection regulations.</w:t>
      </w:r>
      <w:r w:rsidRPr="008A6DC6">
        <w:rPr>
          <w:rFonts w:asciiTheme="majorBidi" w:hAnsiTheme="majorBidi" w:cstheme="majorBidi"/>
          <w:color w:val="000000" w:themeColor="text1"/>
        </w:rPr>
        <w:br/>
      </w:r>
    </w:p>
    <w:p w:rsidR="0095486A" w:rsidRPr="008A6DC6" w:rsidRDefault="0061498F">
      <w:pPr>
        <w:pStyle w:val="Compact"/>
        <w:numPr>
          <w:ilvl w:val="0"/>
          <w:numId w:val="7"/>
        </w:numPr>
        <w:rPr>
          <w:rFonts w:asciiTheme="majorBidi" w:hAnsiTheme="majorBidi" w:cstheme="majorBidi"/>
          <w:color w:val="000000" w:themeColor="text1"/>
        </w:rPr>
      </w:pPr>
      <w:r w:rsidRPr="008A6DC6">
        <w:rPr>
          <w:rFonts w:asciiTheme="majorBidi" w:hAnsiTheme="majorBidi" w:cstheme="majorBidi"/>
          <w:color w:val="000000" w:themeColor="text1"/>
        </w:rPr>
        <w:t>Digital records are backed up regularly and access is controlled to prevent tampering.</w:t>
      </w:r>
    </w:p>
    <w:p w:rsidR="0095486A" w:rsidRPr="008A6DC6" w:rsidRDefault="0061498F">
      <w:pPr>
        <w:pStyle w:val="3"/>
        <w:rPr>
          <w:rFonts w:asciiTheme="majorBidi" w:hAnsiTheme="majorBidi"/>
          <w:color w:val="000000" w:themeColor="text1"/>
          <w:sz w:val="28"/>
          <w:szCs w:val="28"/>
        </w:rPr>
      </w:pPr>
      <w:bookmarkStart w:id="12" w:name="continuous-improvement"/>
      <w:r w:rsidRPr="008A6DC6">
        <w:rPr>
          <w:rFonts w:asciiTheme="majorBidi" w:hAnsiTheme="majorBidi"/>
          <w:color w:val="000000" w:themeColor="text1"/>
          <w:sz w:val="28"/>
          <w:szCs w:val="28"/>
        </w:rPr>
        <w:t>3.8 Continuous Improvement</w:t>
      </w:r>
      <w:bookmarkEnd w:id="12"/>
    </w:p>
    <w:p w:rsidR="0095486A" w:rsidRPr="008A6DC6" w:rsidRDefault="0061498F">
      <w:pPr>
        <w:pStyle w:val="Compact"/>
        <w:numPr>
          <w:ilvl w:val="0"/>
          <w:numId w:val="8"/>
        </w:numPr>
        <w:rPr>
          <w:rFonts w:asciiTheme="majorBidi" w:hAnsiTheme="majorBidi" w:cstheme="majorBidi"/>
          <w:color w:val="000000" w:themeColor="text1"/>
        </w:rPr>
      </w:pPr>
      <w:r w:rsidRPr="008A6DC6">
        <w:rPr>
          <w:rFonts w:asciiTheme="majorBidi" w:hAnsiTheme="majorBidi" w:cstheme="majorBidi"/>
          <w:color w:val="000000" w:themeColor="text1"/>
        </w:rPr>
        <w:t>The school reviews and updates its anti-fraud and anti-bribery measures in response to emerging risks, technological developments, and regulatory changes.</w:t>
      </w:r>
      <w:r w:rsidRPr="008A6DC6">
        <w:rPr>
          <w:rFonts w:asciiTheme="majorBidi" w:hAnsiTheme="majorBidi" w:cstheme="majorBidi"/>
          <w:color w:val="000000" w:themeColor="text1"/>
        </w:rPr>
        <w:br/>
      </w:r>
    </w:p>
    <w:p w:rsidR="0095486A" w:rsidRPr="008A6DC6" w:rsidRDefault="0061498F">
      <w:pPr>
        <w:pStyle w:val="Compact"/>
        <w:numPr>
          <w:ilvl w:val="0"/>
          <w:numId w:val="8"/>
        </w:numPr>
        <w:rPr>
          <w:rFonts w:asciiTheme="majorBidi" w:hAnsiTheme="majorBidi" w:cstheme="majorBidi"/>
          <w:color w:val="000000" w:themeColor="text1"/>
        </w:rPr>
      </w:pPr>
      <w:r w:rsidRPr="008A6DC6">
        <w:rPr>
          <w:rFonts w:asciiTheme="majorBidi" w:hAnsiTheme="majorBidi" w:cstheme="majorBidi"/>
          <w:color w:val="000000" w:themeColor="text1"/>
        </w:rPr>
        <w:t>Feedback from staff, parents, and inspectors is incorporated into policy and procedural enhancements.</w:t>
      </w:r>
    </w:p>
    <w:p w:rsidR="0095486A" w:rsidRPr="008A6DC6" w:rsidRDefault="0095486A">
      <w:pPr>
        <w:rPr>
          <w:rFonts w:asciiTheme="majorBidi" w:hAnsiTheme="majorBidi" w:cstheme="majorBidi"/>
          <w:color w:val="000000" w:themeColor="text1"/>
        </w:rPr>
      </w:pPr>
    </w:p>
    <w:p w:rsidR="0095486A" w:rsidRPr="008A6DC6" w:rsidRDefault="0061498F">
      <w:pPr>
        <w:pStyle w:val="2"/>
        <w:rPr>
          <w:rFonts w:asciiTheme="majorBidi" w:hAnsiTheme="majorBidi"/>
          <w:color w:val="000000" w:themeColor="text1"/>
          <w:sz w:val="32"/>
          <w:szCs w:val="32"/>
        </w:rPr>
      </w:pPr>
      <w:bookmarkStart w:id="13" w:name="review"/>
      <w:r w:rsidRPr="008A6DC6">
        <w:rPr>
          <w:rFonts w:asciiTheme="majorBidi" w:hAnsiTheme="majorBidi"/>
          <w:color w:val="000000" w:themeColor="text1"/>
          <w:sz w:val="32"/>
          <w:szCs w:val="32"/>
        </w:rPr>
        <w:t>4. Review</w:t>
      </w:r>
      <w:bookmarkEnd w:id="13"/>
    </w:p>
    <w:p w:rsidR="0095486A" w:rsidRPr="008A6DC6" w:rsidRDefault="0061498F">
      <w:pPr>
        <w:pStyle w:val="FirstParagraph"/>
        <w:rPr>
          <w:rFonts w:asciiTheme="majorBidi" w:hAnsiTheme="majorBidi" w:cstheme="majorBidi"/>
          <w:color w:val="000000" w:themeColor="text1"/>
        </w:rPr>
      </w:pPr>
      <w:r w:rsidRPr="008A6DC6">
        <w:rPr>
          <w:rFonts w:asciiTheme="majorBidi" w:hAnsiTheme="majorBidi" w:cstheme="majorBidi"/>
          <w:color w:val="000000" w:themeColor="text1"/>
        </w:rPr>
        <w:t>This Anti-Fraud &amp; Anti-Bribery Policy will be reviewed annually by the senior leadership team of NextGen Digital School of Britain, in consultation with The Academy of eLearning - Britain. Reviews will consider changes in legislation, DfE OEAS requirements, and operational experience to ensure ongoing effectiveness and compliance. Any amendments will be communicated promptly to all stakeholders.</w:t>
      </w:r>
    </w:p>
    <w:p w:rsidR="0095486A" w:rsidRDefault="0061498F">
      <w:pPr>
        <w:pStyle w:val="FirstParagraph"/>
      </w:pPr>
      <w:r>
        <w:rPr>
          <w:i/>
        </w:rPr>
        <w:t>.</w:t>
      </w:r>
    </w:p>
    <w:sectPr w:rsidR="0095486A" w:rsidSect="008A6DC6">
      <w:footerReference w:type="default" r:id="rId10"/>
      <w:pgSz w:w="12240" w:h="15840"/>
      <w:pgMar w:top="1440" w:right="1800" w:bottom="1440" w:left="180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1B1B" w:rsidRDefault="00581B1B">
      <w:pPr>
        <w:spacing w:after="0"/>
      </w:pPr>
      <w:r>
        <w:separator/>
      </w:r>
    </w:p>
  </w:endnote>
  <w:endnote w:type="continuationSeparator" w:id="0">
    <w:p w:rsidR="00581B1B" w:rsidRDefault="00581B1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034687"/>
      <w:docPartObj>
        <w:docPartGallery w:val="Page Numbers (Bottom of Page)"/>
        <w:docPartUnique/>
      </w:docPartObj>
    </w:sdtPr>
    <w:sdtEndPr/>
    <w:sdtContent>
      <w:p w:rsidR="008A6DC6" w:rsidRDefault="008A6DC6">
        <w:pPr>
          <w:pStyle w:val="af"/>
          <w:jc w:val="center"/>
        </w:pPr>
        <w:r>
          <w:fldChar w:fldCharType="begin"/>
        </w:r>
        <w:r>
          <w:instrText>PAGE   \* MERGEFORMAT</w:instrText>
        </w:r>
        <w:r>
          <w:fldChar w:fldCharType="separate"/>
        </w:r>
        <w:r w:rsidR="0017033E" w:rsidRPr="0017033E">
          <w:rPr>
            <w:rFonts w:cs="Cambria"/>
            <w:noProof/>
            <w:lang w:val="ar-SA"/>
          </w:rPr>
          <w:t>3</w:t>
        </w:r>
        <w:r>
          <w:fldChar w:fldCharType="end"/>
        </w:r>
      </w:p>
    </w:sdtContent>
  </w:sdt>
  <w:p w:rsidR="008A6DC6" w:rsidRDefault="008A6DC6">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1B1B" w:rsidRDefault="00581B1B">
      <w:r>
        <w:separator/>
      </w:r>
    </w:p>
  </w:footnote>
  <w:footnote w:type="continuationSeparator" w:id="0">
    <w:p w:rsidR="00581B1B" w:rsidRDefault="00581B1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033E" w:rsidRPr="00DB74E0" w:rsidRDefault="0017033E" w:rsidP="0017033E">
    <w:pPr>
      <w:pStyle w:val="1"/>
      <w:rPr>
        <w:rFonts w:asciiTheme="majorBidi" w:hAnsiTheme="majorBidi"/>
        <w:b w:val="0"/>
        <w:bCs w:val="0"/>
        <w:color w:val="000000" w:themeColor="text1"/>
        <w:sz w:val="22"/>
        <w:szCs w:val="22"/>
      </w:rPr>
    </w:pPr>
    <w:r w:rsidRPr="0017033E">
      <w:rPr>
        <w:rFonts w:asciiTheme="majorBidi" w:hAnsiTheme="majorBidi"/>
        <w:b w:val="0"/>
        <w:bCs w:val="0"/>
        <w:color w:val="000000" w:themeColor="text1"/>
        <w:sz w:val="22"/>
        <w:szCs w:val="22"/>
      </w:rPr>
      <w:t>Anti-Fraud &amp; Anti-Bribery Policy</w:t>
    </w:r>
    <w:r>
      <w:rPr>
        <w:rFonts w:asciiTheme="majorBidi" w:hAnsiTheme="majorBidi"/>
        <w:b w:val="0"/>
        <w:bCs w:val="0"/>
        <w:color w:val="000000" w:themeColor="text1"/>
        <w:sz w:val="22"/>
        <w:szCs w:val="22"/>
      </w:rPr>
      <w:t xml:space="preserve"> </w:t>
    </w:r>
    <w:r w:rsidRPr="00DB74E0">
      <w:rPr>
        <w:rFonts w:asciiTheme="majorBidi" w:hAnsiTheme="majorBidi"/>
        <w:b w:val="0"/>
        <w:bCs w:val="0"/>
        <w:color w:val="000000" w:themeColor="text1"/>
        <w:sz w:val="22"/>
        <w:szCs w:val="22"/>
      </w:rPr>
      <w:t>-</w:t>
    </w:r>
    <w:r>
      <w:rPr>
        <w:rFonts w:asciiTheme="majorBidi" w:hAnsiTheme="majorBidi"/>
        <w:b w:val="0"/>
        <w:bCs w:val="0"/>
        <w:color w:val="000000" w:themeColor="text1"/>
        <w:sz w:val="22"/>
        <w:szCs w:val="22"/>
      </w:rPr>
      <w:t xml:space="preserve"> </w:t>
    </w:r>
    <w:proofErr w:type="spellStart"/>
    <w:r w:rsidRPr="00DB74E0">
      <w:rPr>
        <w:rFonts w:asciiTheme="majorBidi" w:hAnsiTheme="majorBidi"/>
        <w:b w:val="0"/>
        <w:bCs w:val="0"/>
        <w:color w:val="000000" w:themeColor="text1"/>
        <w:sz w:val="22"/>
        <w:szCs w:val="22"/>
      </w:rPr>
      <w:t>NextGen</w:t>
    </w:r>
    <w:proofErr w:type="spellEnd"/>
    <w:r w:rsidRPr="00DB74E0">
      <w:rPr>
        <w:rFonts w:asciiTheme="majorBidi" w:hAnsiTheme="majorBidi"/>
        <w:b w:val="0"/>
        <w:bCs w:val="0"/>
        <w:color w:val="000000" w:themeColor="text1"/>
        <w:sz w:val="22"/>
        <w:szCs w:val="22"/>
      </w:rPr>
      <w:t xml:space="preserve"> Digital School of Britain</w:t>
    </w:r>
    <w:r w:rsidRPr="00DB74E0">
      <w:rPr>
        <w:rFonts w:asciiTheme="majorBidi" w:hAnsiTheme="majorBidi"/>
        <w:b w:val="0"/>
        <w:bCs w:val="0"/>
        <w:color w:val="000000" w:themeColor="text1"/>
        <w:sz w:val="22"/>
        <w:szCs w:val="22"/>
      </w:rPr>
      <w:br/>
    </w:r>
  </w:p>
  <w:p w:rsidR="0017033E" w:rsidRDefault="0017033E">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A454B4C"/>
    <w:multiLevelType w:val="multilevel"/>
    <w:tmpl w:val="C388CEE6"/>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1">
    <w:nsid w:val="2C1AE401"/>
    <w:multiLevelType w:val="multilevel"/>
    <w:tmpl w:val="5EA42AA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num w:numId="1">
    <w:abstractNumId w:val="1"/>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11C8B"/>
    <w:rsid w:val="0017033E"/>
    <w:rsid w:val="004E29B3"/>
    <w:rsid w:val="00581B1B"/>
    <w:rsid w:val="00590D07"/>
    <w:rsid w:val="0061498F"/>
    <w:rsid w:val="00784D58"/>
    <w:rsid w:val="008A6DC6"/>
    <w:rsid w:val="008D6863"/>
    <w:rsid w:val="0095486A"/>
    <w:rsid w:val="00B86B75"/>
    <w:rsid w:val="00BC48D5"/>
    <w:rsid w:val="00C36279"/>
    <w:rsid w:val="00E315A3"/>
  </w:rsids>
  <m:mathPr>
    <m:mathFont m:val="Cambria Math"/>
    <m:brkBin m:val="before"/>
    <m:brkBinSub m:val="--"/>
    <m:smallFrac m:val="0"/>
    <m:dispDef m:val="0"/>
    <m:lMargin m:val="0"/>
    <m:rMargin m:val="0"/>
    <m:defJc m:val="centerGroup"/>
    <m:wrapRight/>
    <m:intLim m:val="subSup"/>
    <m:naryLim m:val="subSup"/>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lsdException w:name="heading 1" w:uiPriority="9" w:qFormat="1"/>
    <w:lsdException w:name="footer" w:uiPriority="99"/>
    <w:lsdException w:name="Table Grid" w:uiPriority="59"/>
  </w:latentStyles>
  <w:style w:type="paragraph" w:default="1" w:styleId="a">
    <w:name w:val="Normal"/>
    <w:qFormat/>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
    <w:name w:val="Abstract"/>
    <w:basedOn w:val="a"/>
    <w:next w:val="a0"/>
    <w:qFormat/>
    <w:pPr>
      <w:keepNext/>
      <w:keepLines/>
      <w:spacing w:before="3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Char"/>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Char">
    <w:name w:val="تسمية توضيحية Char"/>
    <w:basedOn w:val="a1"/>
    <w:link w:val="aa"/>
  </w:style>
  <w:style w:type="character" w:customStyle="1" w:styleId="VerbatimChar">
    <w:name w:val="Verbatim Char"/>
    <w:basedOn w:val="Char"/>
    <w:link w:val="SourceCode"/>
    <w:rPr>
      <w:rFonts w:ascii="Consolas" w:hAnsi="Consolas"/>
      <w:sz w:val="22"/>
    </w:rPr>
  </w:style>
  <w:style w:type="character" w:styleId="ab">
    <w:name w:val="footnote reference"/>
    <w:basedOn w:val="Char"/>
    <w:rPr>
      <w:vertAlign w:val="superscript"/>
    </w:rPr>
  </w:style>
  <w:style w:type="character" w:styleId="Hyperlink">
    <w:name w:val="Hyperlink"/>
    <w:basedOn w:val="Char"/>
    <w:rPr>
      <w:color w:val="4F81BD" w:themeColor="accent1"/>
    </w:rPr>
  </w:style>
  <w:style w:type="paragraph" w:styleId="ac">
    <w:name w:val="TOC Heading"/>
    <w:basedOn w:val="1"/>
    <w:next w:val="a0"/>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customStyle="1" w:styleId="MdParagraph">
    <w:name w:val="MdParagraph"/>
    <w:qFormat/>
    <w:rsid w:val="008A6DC6"/>
    <w:pPr>
      <w:spacing w:before="120" w:after="120"/>
    </w:pPr>
    <w:rPr>
      <w:rFonts w:ascii="Times New Roman" w:eastAsia="Times New Roman" w:hAnsi="Times New Roman" w:cs="Times New Roman"/>
    </w:rPr>
  </w:style>
  <w:style w:type="table" w:styleId="ad">
    <w:name w:val="Table Grid"/>
    <w:basedOn w:val="a2"/>
    <w:uiPriority w:val="59"/>
    <w:rsid w:val="008A6DC6"/>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Char0"/>
    <w:rsid w:val="008A6DC6"/>
    <w:pPr>
      <w:tabs>
        <w:tab w:val="center" w:pos="4153"/>
        <w:tab w:val="right" w:pos="8306"/>
      </w:tabs>
      <w:spacing w:after="0"/>
    </w:pPr>
  </w:style>
  <w:style w:type="character" w:customStyle="1" w:styleId="Char0">
    <w:name w:val="رأس الصفحة Char"/>
    <w:basedOn w:val="a1"/>
    <w:link w:val="ae"/>
    <w:rsid w:val="008A6DC6"/>
  </w:style>
  <w:style w:type="paragraph" w:styleId="af">
    <w:name w:val="footer"/>
    <w:basedOn w:val="a"/>
    <w:link w:val="Char1"/>
    <w:uiPriority w:val="99"/>
    <w:rsid w:val="008A6DC6"/>
    <w:pPr>
      <w:tabs>
        <w:tab w:val="center" w:pos="4153"/>
        <w:tab w:val="right" w:pos="8306"/>
      </w:tabs>
      <w:spacing w:after="0"/>
    </w:pPr>
  </w:style>
  <w:style w:type="character" w:customStyle="1" w:styleId="Char1">
    <w:name w:val="تذييل الصفحة Char"/>
    <w:basedOn w:val="a1"/>
    <w:link w:val="af"/>
    <w:uiPriority w:val="99"/>
    <w:rsid w:val="008A6DC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lsdException w:name="heading 1" w:uiPriority="9" w:qFormat="1"/>
    <w:lsdException w:name="footer" w:uiPriority="99"/>
    <w:lsdException w:name="Table Grid" w:uiPriority="59"/>
  </w:latentStyles>
  <w:style w:type="paragraph" w:default="1" w:styleId="a">
    <w:name w:val="Normal"/>
    <w:qFormat/>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
    <w:name w:val="Abstract"/>
    <w:basedOn w:val="a"/>
    <w:next w:val="a0"/>
    <w:qFormat/>
    <w:pPr>
      <w:keepNext/>
      <w:keepLines/>
      <w:spacing w:before="3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Char"/>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Char">
    <w:name w:val="تسمية توضيحية Char"/>
    <w:basedOn w:val="a1"/>
    <w:link w:val="aa"/>
  </w:style>
  <w:style w:type="character" w:customStyle="1" w:styleId="VerbatimChar">
    <w:name w:val="Verbatim Char"/>
    <w:basedOn w:val="Char"/>
    <w:link w:val="SourceCode"/>
    <w:rPr>
      <w:rFonts w:ascii="Consolas" w:hAnsi="Consolas"/>
      <w:sz w:val="22"/>
    </w:rPr>
  </w:style>
  <w:style w:type="character" w:styleId="ab">
    <w:name w:val="footnote reference"/>
    <w:basedOn w:val="Char"/>
    <w:rPr>
      <w:vertAlign w:val="superscript"/>
    </w:rPr>
  </w:style>
  <w:style w:type="character" w:styleId="Hyperlink">
    <w:name w:val="Hyperlink"/>
    <w:basedOn w:val="Char"/>
    <w:rPr>
      <w:color w:val="4F81BD" w:themeColor="accent1"/>
    </w:rPr>
  </w:style>
  <w:style w:type="paragraph" w:styleId="ac">
    <w:name w:val="TOC Heading"/>
    <w:basedOn w:val="1"/>
    <w:next w:val="a0"/>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customStyle="1" w:styleId="MdParagraph">
    <w:name w:val="MdParagraph"/>
    <w:qFormat/>
    <w:rsid w:val="008A6DC6"/>
    <w:pPr>
      <w:spacing w:before="120" w:after="120"/>
    </w:pPr>
    <w:rPr>
      <w:rFonts w:ascii="Times New Roman" w:eastAsia="Times New Roman" w:hAnsi="Times New Roman" w:cs="Times New Roman"/>
    </w:rPr>
  </w:style>
  <w:style w:type="table" w:styleId="ad">
    <w:name w:val="Table Grid"/>
    <w:basedOn w:val="a2"/>
    <w:uiPriority w:val="59"/>
    <w:rsid w:val="008A6DC6"/>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Char0"/>
    <w:rsid w:val="008A6DC6"/>
    <w:pPr>
      <w:tabs>
        <w:tab w:val="center" w:pos="4153"/>
        <w:tab w:val="right" w:pos="8306"/>
      </w:tabs>
      <w:spacing w:after="0"/>
    </w:pPr>
  </w:style>
  <w:style w:type="character" w:customStyle="1" w:styleId="Char0">
    <w:name w:val="رأس الصفحة Char"/>
    <w:basedOn w:val="a1"/>
    <w:link w:val="ae"/>
    <w:rsid w:val="008A6DC6"/>
  </w:style>
  <w:style w:type="paragraph" w:styleId="af">
    <w:name w:val="footer"/>
    <w:basedOn w:val="a"/>
    <w:link w:val="Char1"/>
    <w:uiPriority w:val="99"/>
    <w:rsid w:val="008A6DC6"/>
    <w:pPr>
      <w:tabs>
        <w:tab w:val="center" w:pos="4153"/>
        <w:tab w:val="right" w:pos="8306"/>
      </w:tabs>
      <w:spacing w:after="0"/>
    </w:pPr>
  </w:style>
  <w:style w:type="character" w:customStyle="1" w:styleId="Char1">
    <w:name w:val="تذييل الصفحة Char"/>
    <w:basedOn w:val="a1"/>
    <w:link w:val="af"/>
    <w:uiPriority w:val="99"/>
    <w:rsid w:val="008A6D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789</Words>
  <Characters>4503</Characters>
  <Application>Microsoft Office Word</Application>
  <DocSecurity>0</DocSecurity>
  <Lines>37</Lines>
  <Paragraphs>10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5282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kii ky7hx0pgbvn ;v'mb\nc</dc:creator>
  <cp:lastModifiedBy>kii ky7hx0pgbvn ;v'mb\nc</cp:lastModifiedBy>
  <cp:revision>3</cp:revision>
  <dcterms:created xsi:type="dcterms:W3CDTF">2025-11-23T06:50:00Z</dcterms:created>
  <dcterms:modified xsi:type="dcterms:W3CDTF">2025-11-23T08:01:00Z</dcterms:modified>
</cp:coreProperties>
</file>